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CD" w:rsidRDefault="00E86ACD">
      <w:pPr>
        <w:rPr>
          <w:rFonts w:ascii="Arial" w:hAnsi="Arial" w:cs="Arial"/>
          <w:sz w:val="24"/>
          <w:szCs w:val="24"/>
          <w:u w:val="single"/>
        </w:rPr>
      </w:pPr>
      <w:r>
        <w:rPr>
          <w:rFonts w:ascii="Arial" w:hAnsi="Arial" w:cs="Arial"/>
          <w:sz w:val="24"/>
          <w:szCs w:val="24"/>
          <w:u w:val="single"/>
        </w:rPr>
        <w:t>Appendix C</w:t>
      </w:r>
    </w:p>
    <w:p w:rsidR="007B7BAC" w:rsidRPr="001C7CFF" w:rsidRDefault="00354D58">
      <w:pPr>
        <w:rPr>
          <w:rFonts w:ascii="Arial" w:hAnsi="Arial" w:cs="Arial"/>
          <w:sz w:val="24"/>
          <w:szCs w:val="24"/>
          <w:u w:val="single"/>
        </w:rPr>
      </w:pPr>
      <w:r w:rsidRPr="001C7CFF">
        <w:rPr>
          <w:rFonts w:ascii="Arial" w:hAnsi="Arial" w:cs="Arial"/>
          <w:sz w:val="24"/>
          <w:szCs w:val="24"/>
          <w:u w:val="single"/>
        </w:rPr>
        <w:t>LB of Harrow: Ward Boundary Proposals</w:t>
      </w:r>
    </w:p>
    <w:p w:rsidR="00354D58" w:rsidRPr="001C7CFF" w:rsidRDefault="0038145C">
      <w:pPr>
        <w:rPr>
          <w:rFonts w:ascii="Arial" w:hAnsi="Arial" w:cs="Arial"/>
          <w:sz w:val="24"/>
          <w:szCs w:val="24"/>
          <w:u w:val="single"/>
        </w:rPr>
      </w:pPr>
      <w:r w:rsidRPr="001C7CFF">
        <w:rPr>
          <w:rFonts w:ascii="Arial" w:hAnsi="Arial" w:cs="Arial"/>
          <w:sz w:val="24"/>
          <w:szCs w:val="24"/>
          <w:u w:val="single"/>
        </w:rPr>
        <w:t xml:space="preserve">Proposed </w:t>
      </w:r>
      <w:r w:rsidR="00354D58" w:rsidRPr="001C7CFF">
        <w:rPr>
          <w:rFonts w:ascii="Arial" w:hAnsi="Arial" w:cs="Arial"/>
          <w:sz w:val="24"/>
          <w:szCs w:val="24"/>
          <w:u w:val="single"/>
        </w:rPr>
        <w:t>Ward Names</w:t>
      </w:r>
      <w:r w:rsidR="00736707" w:rsidRPr="001C7CFF">
        <w:rPr>
          <w:rFonts w:ascii="Arial" w:hAnsi="Arial" w:cs="Arial"/>
          <w:sz w:val="24"/>
          <w:szCs w:val="24"/>
          <w:u w:val="single"/>
        </w:rPr>
        <w:t xml:space="preserve"> – Response to the LGBCE’s Draft Recommendations</w:t>
      </w:r>
    </w:p>
    <w:p w:rsidR="00354D58" w:rsidRPr="001C7CFF" w:rsidRDefault="00354D58">
      <w:pPr>
        <w:rPr>
          <w:rFonts w:ascii="Arial" w:hAnsi="Arial" w:cs="Arial"/>
          <w:sz w:val="24"/>
          <w:szCs w:val="24"/>
          <w:u w:val="single"/>
        </w:rPr>
      </w:pPr>
    </w:p>
    <w:tbl>
      <w:tblPr>
        <w:tblStyle w:val="TableGrid"/>
        <w:tblW w:w="0" w:type="auto"/>
        <w:tblLook w:val="04A0" w:firstRow="1" w:lastRow="0" w:firstColumn="1" w:lastColumn="0" w:noHBand="0" w:noVBand="1"/>
      </w:tblPr>
      <w:tblGrid>
        <w:gridCol w:w="2097"/>
        <w:gridCol w:w="1843"/>
        <w:gridCol w:w="5812"/>
      </w:tblGrid>
      <w:tr w:rsidR="00354D58" w:rsidRPr="001C7CFF" w:rsidTr="00144A94">
        <w:tc>
          <w:tcPr>
            <w:tcW w:w="1951" w:type="dxa"/>
            <w:shd w:val="clear" w:color="auto" w:fill="D9D9D9" w:themeFill="background1" w:themeFillShade="D9"/>
            <w:vAlign w:val="center"/>
          </w:tcPr>
          <w:p w:rsidR="00354D58" w:rsidRPr="001C7CFF" w:rsidRDefault="00736707" w:rsidP="008B27E2">
            <w:pPr>
              <w:spacing w:after="0" w:line="240" w:lineRule="auto"/>
              <w:rPr>
                <w:rFonts w:ascii="Arial" w:hAnsi="Arial" w:cs="Arial"/>
                <w:sz w:val="24"/>
                <w:szCs w:val="24"/>
              </w:rPr>
            </w:pPr>
            <w:r w:rsidRPr="001C7CFF">
              <w:rPr>
                <w:rFonts w:ascii="Arial" w:hAnsi="Arial" w:cs="Arial"/>
                <w:sz w:val="24"/>
                <w:szCs w:val="24"/>
              </w:rPr>
              <w:t xml:space="preserve">LGBCE’s </w:t>
            </w:r>
          </w:p>
          <w:p w:rsidR="00736707" w:rsidRPr="001C7CFF" w:rsidRDefault="00736707" w:rsidP="008B27E2">
            <w:pPr>
              <w:spacing w:after="0" w:line="240" w:lineRule="auto"/>
              <w:rPr>
                <w:rFonts w:ascii="Arial" w:hAnsi="Arial" w:cs="Arial"/>
                <w:sz w:val="24"/>
                <w:szCs w:val="24"/>
              </w:rPr>
            </w:pPr>
            <w:r w:rsidRPr="001C7CFF">
              <w:rPr>
                <w:rFonts w:ascii="Arial" w:hAnsi="Arial" w:cs="Arial"/>
                <w:sz w:val="24"/>
                <w:szCs w:val="24"/>
              </w:rPr>
              <w:t>Recommendation</w:t>
            </w:r>
          </w:p>
        </w:tc>
        <w:tc>
          <w:tcPr>
            <w:tcW w:w="1843" w:type="dxa"/>
            <w:shd w:val="clear" w:color="auto" w:fill="D9D9D9" w:themeFill="background1" w:themeFillShade="D9"/>
            <w:vAlign w:val="center"/>
          </w:tcPr>
          <w:p w:rsidR="00354D58" w:rsidRPr="001C7CFF" w:rsidRDefault="00736707" w:rsidP="008B27E2">
            <w:pPr>
              <w:spacing w:after="0" w:line="240" w:lineRule="auto"/>
              <w:rPr>
                <w:rFonts w:ascii="Arial" w:hAnsi="Arial" w:cs="Arial"/>
                <w:sz w:val="24"/>
                <w:szCs w:val="24"/>
              </w:rPr>
            </w:pPr>
            <w:r w:rsidRPr="001C7CFF">
              <w:rPr>
                <w:rFonts w:ascii="Arial" w:hAnsi="Arial" w:cs="Arial"/>
                <w:sz w:val="24"/>
                <w:szCs w:val="24"/>
              </w:rPr>
              <w:t>Harrow’s Response</w:t>
            </w:r>
          </w:p>
        </w:tc>
        <w:tc>
          <w:tcPr>
            <w:tcW w:w="5812" w:type="dxa"/>
            <w:shd w:val="clear" w:color="auto" w:fill="D9D9D9" w:themeFill="background1" w:themeFillShade="D9"/>
            <w:vAlign w:val="center"/>
          </w:tcPr>
          <w:p w:rsidR="00354D58" w:rsidRPr="001C7CFF" w:rsidRDefault="00144A94" w:rsidP="0038145C">
            <w:pPr>
              <w:spacing w:after="0" w:line="240" w:lineRule="auto"/>
              <w:rPr>
                <w:rFonts w:ascii="Arial" w:hAnsi="Arial" w:cs="Arial"/>
                <w:sz w:val="24"/>
                <w:szCs w:val="24"/>
              </w:rPr>
            </w:pPr>
            <w:r w:rsidRPr="001C7CFF">
              <w:rPr>
                <w:rFonts w:ascii="Arial" w:hAnsi="Arial" w:cs="Arial"/>
                <w:sz w:val="24"/>
                <w:szCs w:val="24"/>
              </w:rPr>
              <w:t>Comment</w:t>
            </w:r>
          </w:p>
        </w:tc>
      </w:tr>
      <w:tr w:rsidR="00354D58" w:rsidRPr="001C7CFF" w:rsidTr="00144A94">
        <w:tc>
          <w:tcPr>
            <w:tcW w:w="1951" w:type="dxa"/>
            <w:vAlign w:val="center"/>
          </w:tcPr>
          <w:p w:rsidR="00354D58" w:rsidRPr="001C7CFF" w:rsidRDefault="00354D58" w:rsidP="00B90401">
            <w:pPr>
              <w:spacing w:after="0" w:line="240" w:lineRule="auto"/>
              <w:rPr>
                <w:rFonts w:ascii="Arial" w:hAnsi="Arial" w:cs="Arial"/>
                <w:sz w:val="24"/>
                <w:szCs w:val="24"/>
              </w:rPr>
            </w:pPr>
            <w:r w:rsidRPr="001C7CFF">
              <w:rPr>
                <w:rFonts w:ascii="Arial" w:hAnsi="Arial" w:cs="Arial"/>
                <w:sz w:val="24"/>
                <w:szCs w:val="24"/>
              </w:rPr>
              <w:t>Belmont</w:t>
            </w:r>
          </w:p>
        </w:tc>
        <w:tc>
          <w:tcPr>
            <w:tcW w:w="1843" w:type="dxa"/>
            <w:vAlign w:val="center"/>
          </w:tcPr>
          <w:p w:rsidR="00354D58" w:rsidRDefault="00354D58" w:rsidP="00B90401">
            <w:pPr>
              <w:spacing w:after="0" w:line="240" w:lineRule="auto"/>
              <w:rPr>
                <w:rFonts w:ascii="Arial" w:hAnsi="Arial" w:cs="Arial"/>
                <w:sz w:val="24"/>
                <w:szCs w:val="24"/>
              </w:rPr>
            </w:pPr>
            <w:r w:rsidRPr="001C7CFF">
              <w:rPr>
                <w:rFonts w:ascii="Arial" w:hAnsi="Arial" w:cs="Arial"/>
                <w:sz w:val="24"/>
                <w:szCs w:val="24"/>
              </w:rPr>
              <w:t>Belmont</w:t>
            </w:r>
          </w:p>
          <w:p w:rsidR="00B329BF" w:rsidRPr="001C7CFF" w:rsidRDefault="00B329BF" w:rsidP="00B90401">
            <w:pPr>
              <w:spacing w:after="0" w:line="240" w:lineRule="auto"/>
              <w:rPr>
                <w:rFonts w:ascii="Arial" w:hAnsi="Arial" w:cs="Arial"/>
                <w:sz w:val="24"/>
                <w:szCs w:val="24"/>
              </w:rPr>
            </w:pPr>
          </w:p>
        </w:tc>
        <w:tc>
          <w:tcPr>
            <w:tcW w:w="5812" w:type="dxa"/>
            <w:vAlign w:val="center"/>
          </w:tcPr>
          <w:p w:rsidR="00354D58" w:rsidRPr="001C7CFF" w:rsidRDefault="00354D58" w:rsidP="0038145C">
            <w:pPr>
              <w:spacing w:after="0" w:line="240" w:lineRule="auto"/>
              <w:rPr>
                <w:rFonts w:ascii="Arial" w:hAnsi="Arial" w:cs="Arial"/>
                <w:sz w:val="24"/>
                <w:szCs w:val="24"/>
              </w:rPr>
            </w:pPr>
          </w:p>
        </w:tc>
      </w:tr>
      <w:tr w:rsidR="00354D58" w:rsidRPr="001C7CFF" w:rsidTr="00144A94">
        <w:tc>
          <w:tcPr>
            <w:tcW w:w="1951" w:type="dxa"/>
          </w:tcPr>
          <w:p w:rsidR="00354D58" w:rsidRPr="001C7CFF" w:rsidRDefault="00807C7D" w:rsidP="00B90401">
            <w:pPr>
              <w:spacing w:after="0" w:line="240" w:lineRule="auto"/>
              <w:rPr>
                <w:rFonts w:ascii="Arial" w:hAnsi="Arial" w:cs="Arial"/>
                <w:sz w:val="24"/>
                <w:szCs w:val="24"/>
              </w:rPr>
            </w:pPr>
            <w:r w:rsidRPr="001C7CFF">
              <w:rPr>
                <w:rFonts w:ascii="Arial" w:hAnsi="Arial" w:cs="Arial"/>
                <w:sz w:val="24"/>
                <w:szCs w:val="24"/>
              </w:rPr>
              <w:t>Canons</w:t>
            </w:r>
          </w:p>
        </w:tc>
        <w:tc>
          <w:tcPr>
            <w:tcW w:w="1843" w:type="dxa"/>
          </w:tcPr>
          <w:p w:rsidR="00354D58" w:rsidRDefault="00807C7D" w:rsidP="00B90401">
            <w:pPr>
              <w:spacing w:after="0" w:line="240" w:lineRule="auto"/>
              <w:rPr>
                <w:rFonts w:ascii="Arial" w:hAnsi="Arial" w:cs="Arial"/>
                <w:sz w:val="24"/>
                <w:szCs w:val="24"/>
              </w:rPr>
            </w:pPr>
            <w:r w:rsidRPr="001C7CFF">
              <w:rPr>
                <w:rFonts w:ascii="Arial" w:hAnsi="Arial" w:cs="Arial"/>
                <w:sz w:val="24"/>
                <w:szCs w:val="24"/>
              </w:rPr>
              <w:t>Canons</w:t>
            </w:r>
          </w:p>
          <w:p w:rsidR="00B329BF" w:rsidRPr="001C7CFF" w:rsidRDefault="00B329BF" w:rsidP="00B90401">
            <w:pPr>
              <w:spacing w:after="0" w:line="240" w:lineRule="auto"/>
              <w:rPr>
                <w:rFonts w:ascii="Arial" w:hAnsi="Arial" w:cs="Arial"/>
                <w:sz w:val="24"/>
                <w:szCs w:val="24"/>
              </w:rPr>
            </w:pPr>
          </w:p>
        </w:tc>
        <w:tc>
          <w:tcPr>
            <w:tcW w:w="5812" w:type="dxa"/>
            <w:vAlign w:val="center"/>
          </w:tcPr>
          <w:p w:rsidR="00354D58" w:rsidRPr="001C7CFF" w:rsidRDefault="00354D58" w:rsidP="00E36196">
            <w:pPr>
              <w:spacing w:after="0" w:line="240" w:lineRule="auto"/>
              <w:rPr>
                <w:rFonts w:ascii="Arial" w:hAnsi="Arial" w:cs="Arial"/>
                <w:sz w:val="24"/>
                <w:szCs w:val="24"/>
              </w:rPr>
            </w:pPr>
          </w:p>
        </w:tc>
      </w:tr>
      <w:tr w:rsidR="001A786D" w:rsidRPr="001C7CFF" w:rsidTr="00144A94">
        <w:tc>
          <w:tcPr>
            <w:tcW w:w="1951" w:type="dxa"/>
          </w:tcPr>
          <w:p w:rsidR="001A786D" w:rsidRPr="001C7CFF" w:rsidRDefault="001A786D" w:rsidP="00B90401">
            <w:pPr>
              <w:spacing w:after="0" w:line="240" w:lineRule="auto"/>
              <w:rPr>
                <w:rFonts w:ascii="Arial" w:hAnsi="Arial" w:cs="Arial"/>
                <w:sz w:val="24"/>
                <w:szCs w:val="24"/>
              </w:rPr>
            </w:pPr>
            <w:r w:rsidRPr="001C7CFF">
              <w:rPr>
                <w:rFonts w:ascii="Arial" w:hAnsi="Arial" w:cs="Arial"/>
                <w:sz w:val="24"/>
                <w:szCs w:val="24"/>
              </w:rPr>
              <w:t>Centenary</w:t>
            </w:r>
          </w:p>
        </w:tc>
        <w:tc>
          <w:tcPr>
            <w:tcW w:w="1843" w:type="dxa"/>
          </w:tcPr>
          <w:p w:rsidR="001A786D" w:rsidRPr="001C7CFF" w:rsidRDefault="001A786D" w:rsidP="00B90401">
            <w:pPr>
              <w:spacing w:after="0" w:line="240" w:lineRule="auto"/>
              <w:rPr>
                <w:rFonts w:ascii="Arial" w:hAnsi="Arial" w:cs="Arial"/>
                <w:sz w:val="24"/>
                <w:szCs w:val="24"/>
              </w:rPr>
            </w:pPr>
            <w:r w:rsidRPr="001C7CFF">
              <w:rPr>
                <w:rFonts w:ascii="Arial" w:hAnsi="Arial" w:cs="Arial"/>
                <w:sz w:val="24"/>
                <w:szCs w:val="24"/>
              </w:rPr>
              <w:t>Centenary</w:t>
            </w:r>
          </w:p>
        </w:tc>
        <w:tc>
          <w:tcPr>
            <w:tcW w:w="5812" w:type="dxa"/>
            <w:vAlign w:val="center"/>
          </w:tcPr>
          <w:p w:rsidR="001A786D" w:rsidRDefault="001A786D" w:rsidP="00E36196">
            <w:pPr>
              <w:spacing w:after="0" w:line="240" w:lineRule="auto"/>
              <w:rPr>
                <w:rFonts w:ascii="Arial" w:hAnsi="Arial" w:cs="Arial"/>
                <w:sz w:val="24"/>
                <w:szCs w:val="24"/>
              </w:rPr>
            </w:pPr>
            <w:r w:rsidRPr="001C7CFF">
              <w:rPr>
                <w:rFonts w:ascii="Arial" w:hAnsi="Arial" w:cs="Arial"/>
                <w:sz w:val="24"/>
                <w:szCs w:val="24"/>
              </w:rPr>
              <w:t>The LGBCE has accepted the ward name change from Queensbury</w:t>
            </w:r>
          </w:p>
          <w:p w:rsidR="00B329BF" w:rsidRPr="001C7CFF" w:rsidRDefault="00B329BF" w:rsidP="00E36196">
            <w:pPr>
              <w:spacing w:after="0" w:line="240" w:lineRule="auto"/>
              <w:rPr>
                <w:rFonts w:ascii="Arial" w:hAnsi="Arial" w:cs="Arial"/>
                <w:sz w:val="24"/>
                <w:szCs w:val="24"/>
              </w:rPr>
            </w:pPr>
          </w:p>
        </w:tc>
      </w:tr>
      <w:tr w:rsidR="00354D58" w:rsidRPr="001C7CFF" w:rsidTr="00144A94">
        <w:tc>
          <w:tcPr>
            <w:tcW w:w="1951" w:type="dxa"/>
          </w:tcPr>
          <w:p w:rsidR="00354D58" w:rsidRPr="001C7CFF" w:rsidRDefault="008B27E2" w:rsidP="00B90401">
            <w:pPr>
              <w:spacing w:after="0" w:line="240" w:lineRule="auto"/>
              <w:rPr>
                <w:rFonts w:ascii="Arial" w:hAnsi="Arial" w:cs="Arial"/>
                <w:sz w:val="24"/>
                <w:szCs w:val="24"/>
              </w:rPr>
            </w:pPr>
            <w:r w:rsidRPr="001C7CFF">
              <w:rPr>
                <w:rFonts w:ascii="Arial" w:hAnsi="Arial" w:cs="Arial"/>
                <w:sz w:val="24"/>
                <w:szCs w:val="24"/>
              </w:rPr>
              <w:t>Edgware</w:t>
            </w:r>
          </w:p>
        </w:tc>
        <w:tc>
          <w:tcPr>
            <w:tcW w:w="1843" w:type="dxa"/>
          </w:tcPr>
          <w:p w:rsidR="00354D58" w:rsidRDefault="008B27E2" w:rsidP="00B90401">
            <w:pPr>
              <w:spacing w:after="0" w:line="240" w:lineRule="auto"/>
              <w:rPr>
                <w:rFonts w:ascii="Arial" w:hAnsi="Arial" w:cs="Arial"/>
                <w:sz w:val="24"/>
                <w:szCs w:val="24"/>
              </w:rPr>
            </w:pPr>
            <w:r w:rsidRPr="001C7CFF">
              <w:rPr>
                <w:rFonts w:ascii="Arial" w:hAnsi="Arial" w:cs="Arial"/>
                <w:sz w:val="24"/>
                <w:szCs w:val="24"/>
              </w:rPr>
              <w:t>Edgware</w:t>
            </w:r>
          </w:p>
          <w:p w:rsidR="00B329BF" w:rsidRPr="001C7CFF" w:rsidRDefault="00B329BF" w:rsidP="00B90401">
            <w:pPr>
              <w:spacing w:after="0" w:line="240" w:lineRule="auto"/>
              <w:rPr>
                <w:rFonts w:ascii="Arial" w:hAnsi="Arial" w:cs="Arial"/>
                <w:sz w:val="24"/>
                <w:szCs w:val="24"/>
              </w:rPr>
            </w:pPr>
          </w:p>
        </w:tc>
        <w:tc>
          <w:tcPr>
            <w:tcW w:w="5812" w:type="dxa"/>
          </w:tcPr>
          <w:p w:rsidR="00354D58" w:rsidRPr="001C7CFF" w:rsidRDefault="00354D58" w:rsidP="00BF5FDF">
            <w:pPr>
              <w:spacing w:after="0" w:line="240" w:lineRule="auto"/>
              <w:rPr>
                <w:rFonts w:ascii="Arial" w:hAnsi="Arial" w:cs="Arial"/>
                <w:sz w:val="24"/>
                <w:szCs w:val="24"/>
              </w:rPr>
            </w:pPr>
          </w:p>
        </w:tc>
      </w:tr>
      <w:tr w:rsidR="00354D58" w:rsidRPr="001C7CFF" w:rsidTr="00144A94">
        <w:tc>
          <w:tcPr>
            <w:tcW w:w="1951" w:type="dxa"/>
          </w:tcPr>
          <w:p w:rsidR="00354D58" w:rsidRPr="001C7CFF" w:rsidRDefault="008B27E2" w:rsidP="00736707">
            <w:pPr>
              <w:spacing w:after="0" w:line="240" w:lineRule="auto"/>
              <w:rPr>
                <w:rFonts w:ascii="Arial" w:hAnsi="Arial" w:cs="Arial"/>
                <w:sz w:val="24"/>
                <w:szCs w:val="24"/>
              </w:rPr>
            </w:pPr>
            <w:r w:rsidRPr="001C7CFF">
              <w:rPr>
                <w:rFonts w:ascii="Arial" w:hAnsi="Arial" w:cs="Arial"/>
                <w:sz w:val="24"/>
                <w:szCs w:val="24"/>
              </w:rPr>
              <w:t xml:space="preserve">Greenhill </w:t>
            </w:r>
          </w:p>
        </w:tc>
        <w:tc>
          <w:tcPr>
            <w:tcW w:w="1843" w:type="dxa"/>
          </w:tcPr>
          <w:p w:rsidR="00354D58" w:rsidRDefault="008B27E2" w:rsidP="00B90401">
            <w:pPr>
              <w:spacing w:after="0" w:line="240" w:lineRule="auto"/>
              <w:rPr>
                <w:rFonts w:ascii="Arial" w:hAnsi="Arial" w:cs="Arial"/>
                <w:sz w:val="24"/>
                <w:szCs w:val="24"/>
              </w:rPr>
            </w:pPr>
            <w:r w:rsidRPr="001C7CFF">
              <w:rPr>
                <w:rFonts w:ascii="Arial" w:hAnsi="Arial" w:cs="Arial"/>
                <w:sz w:val="24"/>
                <w:szCs w:val="24"/>
              </w:rPr>
              <w:t>Greenhill</w:t>
            </w:r>
          </w:p>
          <w:p w:rsidR="00B329BF" w:rsidRPr="001C7CFF" w:rsidRDefault="00B329BF" w:rsidP="00B90401">
            <w:pPr>
              <w:spacing w:after="0" w:line="240" w:lineRule="auto"/>
              <w:rPr>
                <w:rFonts w:ascii="Arial" w:hAnsi="Arial" w:cs="Arial"/>
                <w:sz w:val="24"/>
                <w:szCs w:val="24"/>
              </w:rPr>
            </w:pPr>
          </w:p>
        </w:tc>
        <w:tc>
          <w:tcPr>
            <w:tcW w:w="5812" w:type="dxa"/>
          </w:tcPr>
          <w:p w:rsidR="00354D58" w:rsidRPr="001C7CFF" w:rsidRDefault="00354D58" w:rsidP="00F664DB">
            <w:pPr>
              <w:spacing w:after="0" w:line="240" w:lineRule="auto"/>
              <w:rPr>
                <w:rFonts w:ascii="Arial" w:hAnsi="Arial" w:cs="Arial"/>
                <w:sz w:val="24"/>
                <w:szCs w:val="24"/>
              </w:rPr>
            </w:pPr>
          </w:p>
        </w:tc>
      </w:tr>
      <w:tr w:rsidR="00354D58" w:rsidRPr="001C7CFF" w:rsidTr="00144A94">
        <w:tc>
          <w:tcPr>
            <w:tcW w:w="1951" w:type="dxa"/>
          </w:tcPr>
          <w:p w:rsidR="00354D58" w:rsidRPr="001C7CFF" w:rsidRDefault="00B90401" w:rsidP="00B90401">
            <w:pPr>
              <w:spacing w:after="0" w:line="240" w:lineRule="auto"/>
              <w:rPr>
                <w:rFonts w:ascii="Arial" w:hAnsi="Arial" w:cs="Arial"/>
                <w:sz w:val="24"/>
                <w:szCs w:val="24"/>
              </w:rPr>
            </w:pPr>
            <w:r w:rsidRPr="001C7CFF">
              <w:rPr>
                <w:rFonts w:ascii="Arial" w:hAnsi="Arial" w:cs="Arial"/>
                <w:sz w:val="24"/>
                <w:szCs w:val="24"/>
              </w:rPr>
              <w:t>Harrow on the Hill</w:t>
            </w:r>
          </w:p>
        </w:tc>
        <w:tc>
          <w:tcPr>
            <w:tcW w:w="1843" w:type="dxa"/>
          </w:tcPr>
          <w:p w:rsidR="00354D58" w:rsidRDefault="00B90401" w:rsidP="00B90401">
            <w:pPr>
              <w:spacing w:after="0" w:line="240" w:lineRule="auto"/>
              <w:rPr>
                <w:rFonts w:ascii="Arial" w:hAnsi="Arial" w:cs="Arial"/>
                <w:sz w:val="24"/>
                <w:szCs w:val="24"/>
              </w:rPr>
            </w:pPr>
            <w:r w:rsidRPr="001C7CFF">
              <w:rPr>
                <w:rFonts w:ascii="Arial" w:hAnsi="Arial" w:cs="Arial"/>
                <w:sz w:val="24"/>
                <w:szCs w:val="24"/>
              </w:rPr>
              <w:t>Harrow on the Hill</w:t>
            </w:r>
          </w:p>
          <w:p w:rsidR="00B329BF" w:rsidRPr="001C7CFF" w:rsidRDefault="00B329BF" w:rsidP="00B90401">
            <w:pPr>
              <w:spacing w:after="0" w:line="240" w:lineRule="auto"/>
              <w:rPr>
                <w:rFonts w:ascii="Arial" w:hAnsi="Arial" w:cs="Arial"/>
                <w:sz w:val="24"/>
                <w:szCs w:val="24"/>
              </w:rPr>
            </w:pPr>
          </w:p>
        </w:tc>
        <w:tc>
          <w:tcPr>
            <w:tcW w:w="5812" w:type="dxa"/>
          </w:tcPr>
          <w:p w:rsidR="00354D58" w:rsidRPr="001C7CFF" w:rsidRDefault="00354D58" w:rsidP="00BF5FDF">
            <w:pPr>
              <w:spacing w:after="0" w:line="240" w:lineRule="auto"/>
              <w:jc w:val="both"/>
              <w:rPr>
                <w:rFonts w:ascii="Arial" w:hAnsi="Arial" w:cs="Arial"/>
                <w:sz w:val="24"/>
                <w:szCs w:val="24"/>
              </w:rPr>
            </w:pPr>
          </w:p>
        </w:tc>
      </w:tr>
      <w:tr w:rsidR="00354D58" w:rsidRPr="001C7CFF" w:rsidTr="00144A94">
        <w:tc>
          <w:tcPr>
            <w:tcW w:w="1951" w:type="dxa"/>
          </w:tcPr>
          <w:p w:rsidR="00354D58" w:rsidRPr="001C7CFF" w:rsidRDefault="008F0763" w:rsidP="00354D58">
            <w:pPr>
              <w:spacing w:after="0" w:line="240" w:lineRule="auto"/>
              <w:jc w:val="both"/>
              <w:rPr>
                <w:rFonts w:ascii="Arial" w:hAnsi="Arial" w:cs="Arial"/>
                <w:sz w:val="24"/>
                <w:szCs w:val="24"/>
              </w:rPr>
            </w:pPr>
            <w:r w:rsidRPr="001C7CFF">
              <w:rPr>
                <w:rFonts w:ascii="Arial" w:hAnsi="Arial" w:cs="Arial"/>
                <w:sz w:val="24"/>
                <w:szCs w:val="24"/>
              </w:rPr>
              <w:t>Harrow Weald</w:t>
            </w:r>
          </w:p>
        </w:tc>
        <w:tc>
          <w:tcPr>
            <w:tcW w:w="1843" w:type="dxa"/>
          </w:tcPr>
          <w:p w:rsidR="00354D58" w:rsidRDefault="008F0763" w:rsidP="00354D58">
            <w:pPr>
              <w:spacing w:after="0" w:line="240" w:lineRule="auto"/>
              <w:jc w:val="both"/>
              <w:rPr>
                <w:rFonts w:ascii="Arial" w:hAnsi="Arial" w:cs="Arial"/>
                <w:sz w:val="24"/>
                <w:szCs w:val="24"/>
              </w:rPr>
            </w:pPr>
            <w:r w:rsidRPr="001C7CFF">
              <w:rPr>
                <w:rFonts w:ascii="Arial" w:hAnsi="Arial" w:cs="Arial"/>
                <w:sz w:val="24"/>
                <w:szCs w:val="24"/>
              </w:rPr>
              <w:t>Harrow Weald</w:t>
            </w:r>
          </w:p>
          <w:p w:rsidR="00B329BF" w:rsidRPr="001C7CFF" w:rsidRDefault="00B329BF" w:rsidP="00354D58">
            <w:pPr>
              <w:spacing w:after="0" w:line="240" w:lineRule="auto"/>
              <w:jc w:val="both"/>
              <w:rPr>
                <w:rFonts w:ascii="Arial" w:hAnsi="Arial" w:cs="Arial"/>
                <w:sz w:val="24"/>
                <w:szCs w:val="24"/>
              </w:rPr>
            </w:pPr>
          </w:p>
        </w:tc>
        <w:tc>
          <w:tcPr>
            <w:tcW w:w="5812" w:type="dxa"/>
          </w:tcPr>
          <w:p w:rsidR="00354D58" w:rsidRPr="001C7CFF" w:rsidRDefault="00354D58" w:rsidP="007246EE">
            <w:pPr>
              <w:spacing w:after="0" w:line="240" w:lineRule="auto"/>
              <w:rPr>
                <w:rFonts w:ascii="Arial" w:hAnsi="Arial" w:cs="Arial"/>
                <w:sz w:val="24"/>
                <w:szCs w:val="24"/>
              </w:rPr>
            </w:pPr>
          </w:p>
        </w:tc>
      </w:tr>
      <w:tr w:rsidR="008F0763" w:rsidRPr="001C7CFF" w:rsidTr="00144A94">
        <w:tc>
          <w:tcPr>
            <w:tcW w:w="1951" w:type="dxa"/>
          </w:tcPr>
          <w:p w:rsidR="008F0763" w:rsidRPr="001C7CFF" w:rsidRDefault="008F0763" w:rsidP="00354D58">
            <w:pPr>
              <w:spacing w:after="0" w:line="240" w:lineRule="auto"/>
              <w:jc w:val="both"/>
              <w:rPr>
                <w:rFonts w:ascii="Arial" w:hAnsi="Arial" w:cs="Arial"/>
                <w:sz w:val="24"/>
                <w:szCs w:val="24"/>
              </w:rPr>
            </w:pPr>
            <w:r w:rsidRPr="001C7CFF">
              <w:rPr>
                <w:rFonts w:ascii="Arial" w:hAnsi="Arial" w:cs="Arial"/>
                <w:sz w:val="24"/>
                <w:szCs w:val="24"/>
              </w:rPr>
              <w:t>Hatch End</w:t>
            </w:r>
          </w:p>
        </w:tc>
        <w:tc>
          <w:tcPr>
            <w:tcW w:w="1843" w:type="dxa"/>
          </w:tcPr>
          <w:p w:rsidR="008F0763" w:rsidRDefault="008F0763" w:rsidP="00354D58">
            <w:pPr>
              <w:spacing w:after="0" w:line="240" w:lineRule="auto"/>
              <w:jc w:val="both"/>
              <w:rPr>
                <w:rFonts w:ascii="Arial" w:hAnsi="Arial" w:cs="Arial"/>
                <w:sz w:val="24"/>
                <w:szCs w:val="24"/>
              </w:rPr>
            </w:pPr>
            <w:r w:rsidRPr="001C7CFF">
              <w:rPr>
                <w:rFonts w:ascii="Arial" w:hAnsi="Arial" w:cs="Arial"/>
                <w:sz w:val="24"/>
                <w:szCs w:val="24"/>
              </w:rPr>
              <w:t>Hatch End</w:t>
            </w:r>
          </w:p>
          <w:p w:rsidR="00B329BF" w:rsidRPr="001C7CFF" w:rsidRDefault="00B329BF" w:rsidP="00354D58">
            <w:pPr>
              <w:spacing w:after="0" w:line="240" w:lineRule="auto"/>
              <w:jc w:val="both"/>
              <w:rPr>
                <w:rFonts w:ascii="Arial" w:hAnsi="Arial" w:cs="Arial"/>
                <w:sz w:val="24"/>
                <w:szCs w:val="24"/>
              </w:rPr>
            </w:pPr>
          </w:p>
        </w:tc>
        <w:tc>
          <w:tcPr>
            <w:tcW w:w="5812" w:type="dxa"/>
          </w:tcPr>
          <w:p w:rsidR="008F0763" w:rsidRPr="001C7CFF" w:rsidRDefault="008F0763" w:rsidP="007246EE">
            <w:pPr>
              <w:spacing w:after="0" w:line="240" w:lineRule="auto"/>
              <w:rPr>
                <w:rFonts w:ascii="Arial" w:hAnsi="Arial" w:cs="Arial"/>
                <w:sz w:val="24"/>
                <w:szCs w:val="24"/>
              </w:rPr>
            </w:pPr>
          </w:p>
        </w:tc>
      </w:tr>
      <w:tr w:rsidR="008F0763" w:rsidRPr="001C7CFF" w:rsidTr="00144A94">
        <w:tc>
          <w:tcPr>
            <w:tcW w:w="1951" w:type="dxa"/>
          </w:tcPr>
          <w:p w:rsidR="008F0763" w:rsidRPr="001C7CFF" w:rsidRDefault="007246EE" w:rsidP="00736707">
            <w:pPr>
              <w:spacing w:after="0" w:line="240" w:lineRule="auto"/>
              <w:jc w:val="both"/>
              <w:rPr>
                <w:rFonts w:ascii="Arial" w:hAnsi="Arial" w:cs="Arial"/>
                <w:sz w:val="24"/>
                <w:szCs w:val="24"/>
              </w:rPr>
            </w:pPr>
            <w:r w:rsidRPr="001C7CFF">
              <w:rPr>
                <w:rFonts w:ascii="Arial" w:hAnsi="Arial" w:cs="Arial"/>
                <w:sz w:val="24"/>
                <w:szCs w:val="24"/>
              </w:rPr>
              <w:t xml:space="preserve">Headstone </w:t>
            </w:r>
          </w:p>
        </w:tc>
        <w:tc>
          <w:tcPr>
            <w:tcW w:w="1843" w:type="dxa"/>
          </w:tcPr>
          <w:p w:rsidR="008F0763" w:rsidRDefault="007246EE" w:rsidP="00736707">
            <w:pPr>
              <w:spacing w:after="0" w:line="240" w:lineRule="auto"/>
              <w:jc w:val="both"/>
              <w:rPr>
                <w:rFonts w:ascii="Arial" w:hAnsi="Arial" w:cs="Arial"/>
                <w:sz w:val="24"/>
                <w:szCs w:val="24"/>
              </w:rPr>
            </w:pPr>
            <w:r w:rsidRPr="001C7CFF">
              <w:rPr>
                <w:rFonts w:ascii="Arial" w:hAnsi="Arial" w:cs="Arial"/>
                <w:sz w:val="24"/>
                <w:szCs w:val="24"/>
              </w:rPr>
              <w:t xml:space="preserve">Headstone </w:t>
            </w:r>
          </w:p>
          <w:p w:rsidR="00B329BF" w:rsidRPr="001C7CFF" w:rsidRDefault="00B329BF" w:rsidP="00736707">
            <w:pPr>
              <w:spacing w:after="0" w:line="240" w:lineRule="auto"/>
              <w:jc w:val="both"/>
              <w:rPr>
                <w:rFonts w:ascii="Arial" w:hAnsi="Arial" w:cs="Arial"/>
                <w:sz w:val="24"/>
                <w:szCs w:val="24"/>
              </w:rPr>
            </w:pPr>
          </w:p>
        </w:tc>
        <w:tc>
          <w:tcPr>
            <w:tcW w:w="5812" w:type="dxa"/>
          </w:tcPr>
          <w:p w:rsidR="008F0763" w:rsidRPr="001C7CFF" w:rsidRDefault="008F0763" w:rsidP="00826E5A">
            <w:pPr>
              <w:spacing w:after="0" w:line="240" w:lineRule="auto"/>
              <w:jc w:val="both"/>
              <w:rPr>
                <w:rFonts w:ascii="Arial" w:hAnsi="Arial" w:cs="Arial"/>
                <w:sz w:val="24"/>
                <w:szCs w:val="24"/>
              </w:rPr>
            </w:pPr>
          </w:p>
        </w:tc>
      </w:tr>
      <w:tr w:rsidR="008F0763" w:rsidRPr="001C7CFF" w:rsidTr="00144A94">
        <w:tc>
          <w:tcPr>
            <w:tcW w:w="1951" w:type="dxa"/>
          </w:tcPr>
          <w:p w:rsidR="008F0763" w:rsidRPr="001C7CFF" w:rsidRDefault="00543332" w:rsidP="00354D58">
            <w:pPr>
              <w:spacing w:after="0" w:line="240" w:lineRule="auto"/>
              <w:jc w:val="both"/>
              <w:rPr>
                <w:rFonts w:ascii="Arial" w:hAnsi="Arial" w:cs="Arial"/>
                <w:sz w:val="24"/>
                <w:szCs w:val="24"/>
              </w:rPr>
            </w:pPr>
            <w:r w:rsidRPr="001C7CFF">
              <w:rPr>
                <w:rFonts w:ascii="Arial" w:hAnsi="Arial" w:cs="Arial"/>
                <w:sz w:val="24"/>
                <w:szCs w:val="24"/>
              </w:rPr>
              <w:t>Kenton East</w:t>
            </w:r>
          </w:p>
        </w:tc>
        <w:tc>
          <w:tcPr>
            <w:tcW w:w="1843" w:type="dxa"/>
          </w:tcPr>
          <w:p w:rsidR="008F0763" w:rsidRPr="001C7CFF" w:rsidRDefault="00736707" w:rsidP="00354D58">
            <w:pPr>
              <w:spacing w:after="0" w:line="240" w:lineRule="auto"/>
              <w:jc w:val="both"/>
              <w:rPr>
                <w:rFonts w:ascii="Arial" w:hAnsi="Arial" w:cs="Arial"/>
                <w:sz w:val="24"/>
                <w:szCs w:val="24"/>
              </w:rPr>
            </w:pPr>
            <w:r w:rsidRPr="001C7CFF">
              <w:rPr>
                <w:rFonts w:ascii="Arial" w:hAnsi="Arial" w:cs="Arial"/>
                <w:sz w:val="24"/>
                <w:szCs w:val="24"/>
              </w:rPr>
              <w:t>East Kenton</w:t>
            </w:r>
          </w:p>
        </w:tc>
        <w:tc>
          <w:tcPr>
            <w:tcW w:w="5812" w:type="dxa"/>
          </w:tcPr>
          <w:p w:rsidR="00736707" w:rsidRPr="001C7CFF" w:rsidRDefault="00736707" w:rsidP="003C0778">
            <w:pPr>
              <w:spacing w:after="0" w:line="240" w:lineRule="auto"/>
              <w:rPr>
                <w:rFonts w:ascii="Arial" w:hAnsi="Arial" w:cs="Arial"/>
                <w:sz w:val="24"/>
                <w:szCs w:val="24"/>
              </w:rPr>
            </w:pPr>
            <w:r w:rsidRPr="001C7CFF">
              <w:rPr>
                <w:rFonts w:ascii="Arial" w:hAnsi="Arial" w:cs="Arial"/>
                <w:sz w:val="24"/>
                <w:szCs w:val="24"/>
              </w:rPr>
              <w:t>The LGBCE did not generally support a name change to ‘Kenmore Park’</w:t>
            </w:r>
            <w:r w:rsidR="001A786D" w:rsidRPr="001C7CFF">
              <w:rPr>
                <w:rFonts w:ascii="Arial" w:hAnsi="Arial" w:cs="Arial"/>
                <w:sz w:val="24"/>
                <w:szCs w:val="24"/>
              </w:rPr>
              <w:t>,</w:t>
            </w:r>
            <w:r w:rsidRPr="001C7CFF">
              <w:rPr>
                <w:rFonts w:ascii="Arial" w:hAnsi="Arial" w:cs="Arial"/>
                <w:sz w:val="24"/>
                <w:szCs w:val="24"/>
              </w:rPr>
              <w:t xml:space="preserve"> as proposed in the Council’s original submission</w:t>
            </w:r>
            <w:r w:rsidR="001A786D" w:rsidRPr="001C7CFF">
              <w:rPr>
                <w:rFonts w:ascii="Arial" w:hAnsi="Arial" w:cs="Arial"/>
                <w:sz w:val="24"/>
                <w:szCs w:val="24"/>
              </w:rPr>
              <w:t>, to avoid losing the identity of the area</w:t>
            </w:r>
            <w:r w:rsidRPr="001C7CFF">
              <w:rPr>
                <w:rFonts w:ascii="Arial" w:hAnsi="Arial" w:cs="Arial"/>
                <w:sz w:val="24"/>
                <w:szCs w:val="24"/>
              </w:rPr>
              <w:t>.</w:t>
            </w:r>
          </w:p>
          <w:p w:rsidR="00736707" w:rsidRPr="001C7CFF" w:rsidRDefault="00736707" w:rsidP="003C0778">
            <w:pPr>
              <w:spacing w:after="0" w:line="240" w:lineRule="auto"/>
              <w:rPr>
                <w:rFonts w:ascii="Arial" w:hAnsi="Arial" w:cs="Arial"/>
                <w:sz w:val="24"/>
                <w:szCs w:val="24"/>
              </w:rPr>
            </w:pPr>
            <w:r w:rsidRPr="001C7CFF">
              <w:rPr>
                <w:rFonts w:ascii="Arial" w:hAnsi="Arial" w:cs="Arial"/>
                <w:sz w:val="24"/>
                <w:szCs w:val="24"/>
              </w:rPr>
              <w:t>The</w:t>
            </w:r>
            <w:r w:rsidR="001A786D" w:rsidRPr="001C7CFF">
              <w:rPr>
                <w:rFonts w:ascii="Arial" w:hAnsi="Arial" w:cs="Arial"/>
                <w:sz w:val="24"/>
                <w:szCs w:val="24"/>
              </w:rPr>
              <w:t xml:space="preserve">refore the </w:t>
            </w:r>
            <w:r w:rsidRPr="001C7CFF">
              <w:rPr>
                <w:rFonts w:ascii="Arial" w:hAnsi="Arial" w:cs="Arial"/>
                <w:sz w:val="24"/>
                <w:szCs w:val="24"/>
              </w:rPr>
              <w:t xml:space="preserve">Council </w:t>
            </w:r>
            <w:r w:rsidR="001A786D" w:rsidRPr="001C7CFF">
              <w:rPr>
                <w:rFonts w:ascii="Arial" w:hAnsi="Arial" w:cs="Arial"/>
                <w:sz w:val="24"/>
                <w:szCs w:val="24"/>
              </w:rPr>
              <w:t>would like the Commission to give consideration to changing the ward name to ‘East Kenton’. This name which would still keep the identity of the area, but would avoid confusion in matters concerning the London Assembly, as the London Borough of Brent has a ward called Kenton, and Brent &amp; Harrow forms a single constituency on the London Assembly.</w:t>
            </w:r>
          </w:p>
          <w:p w:rsidR="008F0763" w:rsidRDefault="001A786D" w:rsidP="001A786D">
            <w:pPr>
              <w:spacing w:after="0" w:line="240" w:lineRule="auto"/>
              <w:rPr>
                <w:rFonts w:ascii="Arial" w:hAnsi="Arial" w:cs="Arial"/>
                <w:sz w:val="24"/>
                <w:szCs w:val="24"/>
              </w:rPr>
            </w:pPr>
            <w:r w:rsidRPr="001C7CFF">
              <w:rPr>
                <w:rFonts w:ascii="Arial" w:hAnsi="Arial" w:cs="Arial"/>
                <w:sz w:val="24"/>
                <w:szCs w:val="24"/>
              </w:rPr>
              <w:t>Members do not like the geographical locator (</w:t>
            </w:r>
            <w:proofErr w:type="spellStart"/>
            <w:r w:rsidRPr="001C7CFF">
              <w:rPr>
                <w:rFonts w:ascii="Arial" w:hAnsi="Arial" w:cs="Arial"/>
                <w:sz w:val="24"/>
                <w:szCs w:val="24"/>
              </w:rPr>
              <w:t>eg</w:t>
            </w:r>
            <w:proofErr w:type="spellEnd"/>
            <w:r w:rsidRPr="001C7CFF">
              <w:rPr>
                <w:rFonts w:ascii="Arial" w:hAnsi="Arial" w:cs="Arial"/>
                <w:sz w:val="24"/>
                <w:szCs w:val="24"/>
              </w:rPr>
              <w:t xml:space="preserve"> East) to follow the place name (</w:t>
            </w:r>
            <w:proofErr w:type="spellStart"/>
            <w:r w:rsidRPr="001C7CFF">
              <w:rPr>
                <w:rFonts w:ascii="Arial" w:hAnsi="Arial" w:cs="Arial"/>
                <w:sz w:val="24"/>
                <w:szCs w:val="24"/>
              </w:rPr>
              <w:t>eg</w:t>
            </w:r>
            <w:proofErr w:type="spellEnd"/>
            <w:r w:rsidRPr="001C7CFF">
              <w:rPr>
                <w:rFonts w:ascii="Arial" w:hAnsi="Arial" w:cs="Arial"/>
                <w:sz w:val="24"/>
                <w:szCs w:val="24"/>
              </w:rPr>
              <w:t xml:space="preserve"> Kenton East), so changing the name to ‘East Kenton’ would be more acceptable. </w:t>
            </w:r>
          </w:p>
          <w:p w:rsidR="00B329BF" w:rsidRPr="001C7CFF" w:rsidRDefault="00B329BF" w:rsidP="001A786D">
            <w:pPr>
              <w:spacing w:after="0" w:line="240" w:lineRule="auto"/>
              <w:rPr>
                <w:rFonts w:ascii="Arial" w:hAnsi="Arial" w:cs="Arial"/>
                <w:sz w:val="24"/>
                <w:szCs w:val="24"/>
              </w:rPr>
            </w:pPr>
          </w:p>
        </w:tc>
      </w:tr>
      <w:tr w:rsidR="001078B2" w:rsidRPr="001C7CFF" w:rsidTr="00144A94">
        <w:tc>
          <w:tcPr>
            <w:tcW w:w="1951" w:type="dxa"/>
          </w:tcPr>
          <w:p w:rsidR="001078B2" w:rsidRPr="001C7CFF" w:rsidRDefault="001078B2" w:rsidP="00354D58">
            <w:pPr>
              <w:spacing w:after="0" w:line="240" w:lineRule="auto"/>
              <w:jc w:val="both"/>
              <w:rPr>
                <w:rFonts w:ascii="Arial" w:hAnsi="Arial" w:cs="Arial"/>
                <w:sz w:val="24"/>
                <w:szCs w:val="24"/>
              </w:rPr>
            </w:pPr>
            <w:r w:rsidRPr="001C7CFF">
              <w:rPr>
                <w:rFonts w:ascii="Arial" w:hAnsi="Arial" w:cs="Arial"/>
                <w:sz w:val="24"/>
                <w:szCs w:val="24"/>
              </w:rPr>
              <w:t>Kenton West</w:t>
            </w:r>
          </w:p>
        </w:tc>
        <w:tc>
          <w:tcPr>
            <w:tcW w:w="1843" w:type="dxa"/>
          </w:tcPr>
          <w:p w:rsidR="001078B2" w:rsidRPr="001C7CFF" w:rsidRDefault="001A786D" w:rsidP="00354D58">
            <w:pPr>
              <w:spacing w:after="0" w:line="240" w:lineRule="auto"/>
              <w:jc w:val="both"/>
              <w:rPr>
                <w:rFonts w:ascii="Arial" w:hAnsi="Arial" w:cs="Arial"/>
                <w:sz w:val="24"/>
                <w:szCs w:val="24"/>
              </w:rPr>
            </w:pPr>
            <w:r w:rsidRPr="001C7CFF">
              <w:rPr>
                <w:rFonts w:ascii="Arial" w:hAnsi="Arial" w:cs="Arial"/>
                <w:sz w:val="24"/>
                <w:szCs w:val="24"/>
              </w:rPr>
              <w:t>West Kenton</w:t>
            </w:r>
          </w:p>
        </w:tc>
        <w:tc>
          <w:tcPr>
            <w:tcW w:w="5812" w:type="dxa"/>
          </w:tcPr>
          <w:p w:rsidR="001A786D" w:rsidRPr="001C7CFF" w:rsidRDefault="001A786D" w:rsidP="001A786D">
            <w:pPr>
              <w:spacing w:after="0" w:line="240" w:lineRule="auto"/>
              <w:rPr>
                <w:rFonts w:ascii="Arial" w:hAnsi="Arial" w:cs="Arial"/>
                <w:sz w:val="24"/>
                <w:szCs w:val="24"/>
              </w:rPr>
            </w:pPr>
            <w:r w:rsidRPr="001C7CFF">
              <w:rPr>
                <w:rFonts w:ascii="Arial" w:hAnsi="Arial" w:cs="Arial"/>
                <w:sz w:val="24"/>
                <w:szCs w:val="24"/>
              </w:rPr>
              <w:t>The LGBCE did not generally support a name change to ‘</w:t>
            </w:r>
            <w:proofErr w:type="spellStart"/>
            <w:r w:rsidRPr="001C7CFF">
              <w:rPr>
                <w:rFonts w:ascii="Arial" w:hAnsi="Arial" w:cs="Arial"/>
                <w:sz w:val="24"/>
                <w:szCs w:val="24"/>
              </w:rPr>
              <w:t>Kingshill</w:t>
            </w:r>
            <w:proofErr w:type="spellEnd"/>
            <w:r w:rsidRPr="001C7CFF">
              <w:rPr>
                <w:rFonts w:ascii="Arial" w:hAnsi="Arial" w:cs="Arial"/>
                <w:sz w:val="24"/>
                <w:szCs w:val="24"/>
              </w:rPr>
              <w:t xml:space="preserve">, as proposed in the Council’s original submission, to avoid losing the identity of </w:t>
            </w:r>
            <w:r w:rsidRPr="001C7CFF">
              <w:rPr>
                <w:rFonts w:ascii="Arial" w:hAnsi="Arial" w:cs="Arial"/>
                <w:sz w:val="24"/>
                <w:szCs w:val="24"/>
              </w:rPr>
              <w:lastRenderedPageBreak/>
              <w:t>the area.</w:t>
            </w:r>
          </w:p>
          <w:p w:rsidR="001078B2" w:rsidRDefault="001A786D" w:rsidP="001A786D">
            <w:pPr>
              <w:spacing w:after="0" w:line="240" w:lineRule="auto"/>
              <w:rPr>
                <w:rFonts w:ascii="Arial" w:hAnsi="Arial" w:cs="Arial"/>
                <w:sz w:val="24"/>
                <w:szCs w:val="24"/>
              </w:rPr>
            </w:pPr>
            <w:r w:rsidRPr="001C7CFF">
              <w:rPr>
                <w:rFonts w:ascii="Arial" w:hAnsi="Arial" w:cs="Arial"/>
                <w:sz w:val="24"/>
                <w:szCs w:val="24"/>
              </w:rPr>
              <w:t>Therefore the Council would like the Commission to give consideration to changing the ward name to ‘</w:t>
            </w:r>
            <w:proofErr w:type="spellStart"/>
            <w:r w:rsidRPr="001C7CFF">
              <w:rPr>
                <w:rFonts w:ascii="Arial" w:hAnsi="Arial" w:cs="Arial"/>
                <w:sz w:val="24"/>
                <w:szCs w:val="24"/>
              </w:rPr>
              <w:t>Wast</w:t>
            </w:r>
            <w:proofErr w:type="spellEnd"/>
            <w:r w:rsidRPr="001C7CFF">
              <w:rPr>
                <w:rFonts w:ascii="Arial" w:hAnsi="Arial" w:cs="Arial"/>
                <w:sz w:val="24"/>
                <w:szCs w:val="24"/>
              </w:rPr>
              <w:t xml:space="preserve"> Kenton’. This name which would still keep the identity of the area, but would avoid confusion in matters concerning the London Assembly, as the London Borough of Brent has a ward called Kenton, and Brent &amp; Harrow forms a single constituency on the London Assembly.</w:t>
            </w:r>
          </w:p>
          <w:p w:rsidR="00B329BF" w:rsidRPr="001C7CFF" w:rsidRDefault="00B329BF" w:rsidP="001A786D">
            <w:pPr>
              <w:spacing w:after="0" w:line="240" w:lineRule="auto"/>
              <w:rPr>
                <w:rFonts w:ascii="Arial" w:hAnsi="Arial" w:cs="Arial"/>
                <w:sz w:val="24"/>
                <w:szCs w:val="24"/>
              </w:rPr>
            </w:pPr>
          </w:p>
        </w:tc>
      </w:tr>
      <w:tr w:rsidR="001078B2" w:rsidRPr="001C7CFF" w:rsidTr="00144A94">
        <w:tc>
          <w:tcPr>
            <w:tcW w:w="1951" w:type="dxa"/>
          </w:tcPr>
          <w:p w:rsidR="001078B2" w:rsidRPr="001C7CFF" w:rsidRDefault="00EA4F43" w:rsidP="00354D58">
            <w:pPr>
              <w:spacing w:after="0" w:line="240" w:lineRule="auto"/>
              <w:jc w:val="both"/>
              <w:rPr>
                <w:rFonts w:ascii="Arial" w:hAnsi="Arial" w:cs="Arial"/>
                <w:sz w:val="24"/>
                <w:szCs w:val="24"/>
              </w:rPr>
            </w:pPr>
            <w:r w:rsidRPr="001C7CFF">
              <w:rPr>
                <w:rFonts w:ascii="Arial" w:hAnsi="Arial" w:cs="Arial"/>
                <w:sz w:val="24"/>
                <w:szCs w:val="24"/>
              </w:rPr>
              <w:lastRenderedPageBreak/>
              <w:t>Marlborough</w:t>
            </w:r>
          </w:p>
        </w:tc>
        <w:tc>
          <w:tcPr>
            <w:tcW w:w="1843" w:type="dxa"/>
          </w:tcPr>
          <w:p w:rsidR="001078B2" w:rsidRDefault="001A786D" w:rsidP="00354D58">
            <w:pPr>
              <w:spacing w:after="0" w:line="240" w:lineRule="auto"/>
              <w:jc w:val="both"/>
              <w:rPr>
                <w:rFonts w:ascii="Arial" w:hAnsi="Arial" w:cs="Arial"/>
                <w:sz w:val="24"/>
                <w:szCs w:val="24"/>
              </w:rPr>
            </w:pPr>
            <w:r w:rsidRPr="001C7CFF">
              <w:rPr>
                <w:rFonts w:ascii="Arial" w:hAnsi="Arial" w:cs="Arial"/>
                <w:sz w:val="24"/>
                <w:szCs w:val="24"/>
              </w:rPr>
              <w:t>Marlborough</w:t>
            </w:r>
          </w:p>
          <w:p w:rsidR="001F1E4D" w:rsidRDefault="001F1E4D" w:rsidP="00354D58">
            <w:pPr>
              <w:spacing w:after="0" w:line="240" w:lineRule="auto"/>
              <w:jc w:val="both"/>
              <w:rPr>
                <w:rFonts w:ascii="Arial" w:hAnsi="Arial" w:cs="Arial"/>
                <w:sz w:val="24"/>
                <w:szCs w:val="24"/>
              </w:rPr>
            </w:pPr>
          </w:p>
          <w:p w:rsidR="001F1E4D" w:rsidRPr="001C7CFF" w:rsidRDefault="001F1E4D" w:rsidP="00354D58">
            <w:pPr>
              <w:spacing w:after="0" w:line="240" w:lineRule="auto"/>
              <w:jc w:val="both"/>
              <w:rPr>
                <w:rFonts w:ascii="Arial" w:hAnsi="Arial" w:cs="Arial"/>
                <w:sz w:val="24"/>
                <w:szCs w:val="24"/>
              </w:rPr>
            </w:pPr>
          </w:p>
        </w:tc>
        <w:tc>
          <w:tcPr>
            <w:tcW w:w="5812" w:type="dxa"/>
          </w:tcPr>
          <w:p w:rsidR="001078B2" w:rsidRPr="001C7CFF" w:rsidRDefault="001078B2" w:rsidP="003C0778">
            <w:pPr>
              <w:spacing w:after="0" w:line="240" w:lineRule="auto"/>
              <w:rPr>
                <w:rFonts w:ascii="Arial" w:hAnsi="Arial" w:cs="Arial"/>
                <w:sz w:val="24"/>
                <w:szCs w:val="24"/>
              </w:rPr>
            </w:pPr>
          </w:p>
        </w:tc>
      </w:tr>
      <w:tr w:rsidR="001078B2" w:rsidRPr="001C7CFF" w:rsidTr="00144A94">
        <w:tc>
          <w:tcPr>
            <w:tcW w:w="1951" w:type="dxa"/>
          </w:tcPr>
          <w:p w:rsidR="001078B2" w:rsidRPr="001C7CFF" w:rsidRDefault="00EA4F43" w:rsidP="00354D58">
            <w:pPr>
              <w:spacing w:after="0" w:line="240" w:lineRule="auto"/>
              <w:jc w:val="both"/>
              <w:rPr>
                <w:rFonts w:ascii="Arial" w:hAnsi="Arial" w:cs="Arial"/>
                <w:sz w:val="24"/>
                <w:szCs w:val="24"/>
              </w:rPr>
            </w:pPr>
            <w:r w:rsidRPr="001C7CFF">
              <w:rPr>
                <w:rFonts w:ascii="Arial" w:hAnsi="Arial" w:cs="Arial"/>
                <w:sz w:val="24"/>
                <w:szCs w:val="24"/>
              </w:rPr>
              <w:t>North Harrow</w:t>
            </w:r>
          </w:p>
        </w:tc>
        <w:tc>
          <w:tcPr>
            <w:tcW w:w="1843" w:type="dxa"/>
          </w:tcPr>
          <w:p w:rsidR="001078B2" w:rsidRPr="001C7CFF" w:rsidRDefault="00EA4F43" w:rsidP="00354D58">
            <w:pPr>
              <w:spacing w:after="0" w:line="240" w:lineRule="auto"/>
              <w:jc w:val="both"/>
              <w:rPr>
                <w:rFonts w:ascii="Arial" w:hAnsi="Arial" w:cs="Arial"/>
                <w:sz w:val="24"/>
                <w:szCs w:val="24"/>
              </w:rPr>
            </w:pPr>
            <w:r w:rsidRPr="001C7CFF">
              <w:rPr>
                <w:rFonts w:ascii="Arial" w:hAnsi="Arial" w:cs="Arial"/>
                <w:sz w:val="24"/>
                <w:szCs w:val="24"/>
              </w:rPr>
              <w:t>North Harrow</w:t>
            </w:r>
          </w:p>
        </w:tc>
        <w:tc>
          <w:tcPr>
            <w:tcW w:w="5812" w:type="dxa"/>
          </w:tcPr>
          <w:p w:rsidR="001078B2" w:rsidRDefault="00EA4F43" w:rsidP="003C0778">
            <w:pPr>
              <w:spacing w:after="0" w:line="240" w:lineRule="auto"/>
              <w:rPr>
                <w:rFonts w:ascii="Arial" w:hAnsi="Arial" w:cs="Arial"/>
                <w:sz w:val="24"/>
                <w:szCs w:val="24"/>
              </w:rPr>
            </w:pPr>
            <w:r w:rsidRPr="001C7CFF">
              <w:rPr>
                <w:rFonts w:ascii="Arial" w:hAnsi="Arial" w:cs="Arial"/>
                <w:sz w:val="24"/>
                <w:szCs w:val="24"/>
              </w:rPr>
              <w:t xml:space="preserve">This is a new ward, named after </w:t>
            </w:r>
            <w:r w:rsidR="00BF5FDF" w:rsidRPr="001C7CFF">
              <w:rPr>
                <w:rFonts w:ascii="Arial" w:hAnsi="Arial" w:cs="Arial"/>
                <w:sz w:val="24"/>
                <w:szCs w:val="24"/>
              </w:rPr>
              <w:t xml:space="preserve">the general area and the </w:t>
            </w:r>
            <w:r w:rsidRPr="001C7CFF">
              <w:rPr>
                <w:rFonts w:ascii="Arial" w:hAnsi="Arial" w:cs="Arial"/>
                <w:sz w:val="24"/>
                <w:szCs w:val="24"/>
              </w:rPr>
              <w:t>North Harrow District Centre which is located in the heart of this ward.</w:t>
            </w:r>
          </w:p>
          <w:p w:rsidR="00B329BF" w:rsidRPr="001C7CFF" w:rsidRDefault="00B329BF" w:rsidP="003C0778">
            <w:pPr>
              <w:spacing w:after="0" w:line="240" w:lineRule="auto"/>
              <w:rPr>
                <w:rFonts w:ascii="Arial" w:hAnsi="Arial" w:cs="Arial"/>
                <w:sz w:val="24"/>
                <w:szCs w:val="24"/>
              </w:rPr>
            </w:pPr>
          </w:p>
        </w:tc>
      </w:tr>
      <w:tr w:rsidR="001078B2" w:rsidRPr="001C7CFF" w:rsidTr="00144A94">
        <w:tc>
          <w:tcPr>
            <w:tcW w:w="1951" w:type="dxa"/>
          </w:tcPr>
          <w:p w:rsidR="001078B2" w:rsidRPr="001C7CFF" w:rsidRDefault="00EA4F43" w:rsidP="00354D58">
            <w:pPr>
              <w:spacing w:after="0" w:line="240" w:lineRule="auto"/>
              <w:jc w:val="both"/>
              <w:rPr>
                <w:rFonts w:ascii="Arial" w:hAnsi="Arial" w:cs="Arial"/>
                <w:sz w:val="24"/>
                <w:szCs w:val="24"/>
              </w:rPr>
            </w:pPr>
            <w:r w:rsidRPr="001C7CFF">
              <w:rPr>
                <w:rFonts w:ascii="Arial" w:hAnsi="Arial" w:cs="Arial"/>
                <w:sz w:val="24"/>
                <w:szCs w:val="24"/>
              </w:rPr>
              <w:t>Pinner</w:t>
            </w:r>
          </w:p>
        </w:tc>
        <w:tc>
          <w:tcPr>
            <w:tcW w:w="1843" w:type="dxa"/>
          </w:tcPr>
          <w:p w:rsidR="001078B2" w:rsidRPr="001C7CFF" w:rsidRDefault="00EA4F43" w:rsidP="00354D58">
            <w:pPr>
              <w:spacing w:after="0" w:line="240" w:lineRule="auto"/>
              <w:jc w:val="both"/>
              <w:rPr>
                <w:rFonts w:ascii="Arial" w:hAnsi="Arial" w:cs="Arial"/>
                <w:sz w:val="24"/>
                <w:szCs w:val="24"/>
              </w:rPr>
            </w:pPr>
            <w:r w:rsidRPr="001C7CFF">
              <w:rPr>
                <w:rFonts w:ascii="Arial" w:hAnsi="Arial" w:cs="Arial"/>
                <w:sz w:val="24"/>
                <w:szCs w:val="24"/>
              </w:rPr>
              <w:t>Pinner Village</w:t>
            </w:r>
          </w:p>
        </w:tc>
        <w:tc>
          <w:tcPr>
            <w:tcW w:w="5812" w:type="dxa"/>
          </w:tcPr>
          <w:p w:rsidR="001078B2" w:rsidRDefault="00EA4F43" w:rsidP="00234F0B">
            <w:pPr>
              <w:spacing w:after="0" w:line="240" w:lineRule="auto"/>
              <w:rPr>
                <w:rFonts w:ascii="Arial" w:hAnsi="Arial" w:cs="Arial"/>
                <w:sz w:val="24"/>
                <w:szCs w:val="24"/>
              </w:rPr>
            </w:pPr>
            <w:r w:rsidRPr="001C7CFF">
              <w:rPr>
                <w:rFonts w:ascii="Arial" w:hAnsi="Arial" w:cs="Arial"/>
                <w:sz w:val="24"/>
                <w:szCs w:val="24"/>
              </w:rPr>
              <w:t xml:space="preserve">Pinner covers quite a large expanse to the north-west of the borough and there are two Pinner wards. It is proposed to change </w:t>
            </w:r>
            <w:r w:rsidR="00C33D1C" w:rsidRPr="001C7CFF">
              <w:rPr>
                <w:rFonts w:ascii="Arial" w:hAnsi="Arial" w:cs="Arial"/>
                <w:sz w:val="24"/>
                <w:szCs w:val="24"/>
              </w:rPr>
              <w:t xml:space="preserve">the name of </w:t>
            </w:r>
            <w:r w:rsidRPr="001C7CFF">
              <w:rPr>
                <w:rFonts w:ascii="Arial" w:hAnsi="Arial" w:cs="Arial"/>
                <w:sz w:val="24"/>
                <w:szCs w:val="24"/>
              </w:rPr>
              <w:t>Pinner ward to Pinner Village</w:t>
            </w:r>
            <w:r w:rsidR="00C33D1C" w:rsidRPr="001C7CFF">
              <w:rPr>
                <w:rFonts w:ascii="Arial" w:hAnsi="Arial" w:cs="Arial"/>
                <w:sz w:val="24"/>
                <w:szCs w:val="24"/>
              </w:rPr>
              <w:t xml:space="preserve"> ward</w:t>
            </w:r>
            <w:r w:rsidRPr="001C7CFF">
              <w:rPr>
                <w:rFonts w:ascii="Arial" w:hAnsi="Arial" w:cs="Arial"/>
                <w:sz w:val="24"/>
                <w:szCs w:val="24"/>
              </w:rPr>
              <w:t xml:space="preserve">. </w:t>
            </w:r>
            <w:r w:rsidR="00C33D1C" w:rsidRPr="001C7CFF">
              <w:rPr>
                <w:rFonts w:ascii="Arial" w:hAnsi="Arial" w:cs="Arial"/>
                <w:sz w:val="24"/>
                <w:szCs w:val="24"/>
              </w:rPr>
              <w:t xml:space="preserve">Pinner was originally a medieval </w:t>
            </w:r>
            <w:r w:rsidR="00234F0B" w:rsidRPr="001C7CFF">
              <w:rPr>
                <w:rFonts w:ascii="Arial" w:hAnsi="Arial" w:cs="Arial"/>
                <w:sz w:val="24"/>
                <w:szCs w:val="24"/>
              </w:rPr>
              <w:t>hamlet</w:t>
            </w:r>
            <w:r w:rsidR="00C33D1C" w:rsidRPr="001C7CFF">
              <w:rPr>
                <w:rFonts w:ascii="Arial" w:hAnsi="Arial" w:cs="Arial"/>
                <w:sz w:val="24"/>
                <w:szCs w:val="24"/>
              </w:rPr>
              <w:t xml:space="preserve"> and th</w:t>
            </w:r>
            <w:r w:rsidRPr="001C7CFF">
              <w:rPr>
                <w:rFonts w:ascii="Arial" w:hAnsi="Arial" w:cs="Arial"/>
                <w:sz w:val="24"/>
                <w:szCs w:val="24"/>
              </w:rPr>
              <w:t xml:space="preserve">e oldest surviving buildings in Pinner are </w:t>
            </w:r>
            <w:r w:rsidR="00C33D1C" w:rsidRPr="001C7CFF">
              <w:rPr>
                <w:rFonts w:ascii="Arial" w:hAnsi="Arial" w:cs="Arial"/>
                <w:sz w:val="24"/>
                <w:szCs w:val="24"/>
              </w:rPr>
              <w:t xml:space="preserve">located within this ward. The new name of Pinner Village reflects the heritage of this area. </w:t>
            </w:r>
          </w:p>
          <w:p w:rsidR="00B329BF" w:rsidRPr="001C7CFF" w:rsidRDefault="00B329BF" w:rsidP="00234F0B">
            <w:pPr>
              <w:spacing w:after="0" w:line="240" w:lineRule="auto"/>
              <w:rPr>
                <w:rFonts w:ascii="Arial" w:hAnsi="Arial" w:cs="Arial"/>
                <w:sz w:val="24"/>
                <w:szCs w:val="24"/>
              </w:rPr>
            </w:pPr>
          </w:p>
        </w:tc>
      </w:tr>
      <w:tr w:rsidR="00EA4F43" w:rsidRPr="001C7CFF" w:rsidTr="00144A94">
        <w:tc>
          <w:tcPr>
            <w:tcW w:w="1951" w:type="dxa"/>
          </w:tcPr>
          <w:p w:rsidR="00EA4F43" w:rsidRPr="001C7CFF" w:rsidRDefault="00C33D1C" w:rsidP="00354D58">
            <w:pPr>
              <w:spacing w:after="0" w:line="240" w:lineRule="auto"/>
              <w:jc w:val="both"/>
              <w:rPr>
                <w:rFonts w:ascii="Arial" w:hAnsi="Arial" w:cs="Arial"/>
                <w:sz w:val="24"/>
                <w:szCs w:val="24"/>
              </w:rPr>
            </w:pPr>
            <w:r w:rsidRPr="001C7CFF">
              <w:rPr>
                <w:rFonts w:ascii="Arial" w:hAnsi="Arial" w:cs="Arial"/>
                <w:sz w:val="24"/>
                <w:szCs w:val="24"/>
              </w:rPr>
              <w:t>Pinner South</w:t>
            </w:r>
          </w:p>
        </w:tc>
        <w:tc>
          <w:tcPr>
            <w:tcW w:w="1843" w:type="dxa"/>
          </w:tcPr>
          <w:p w:rsidR="00EA4F43" w:rsidRPr="001C7CFF" w:rsidRDefault="00C33D1C" w:rsidP="00C33D1C">
            <w:pPr>
              <w:spacing w:after="0" w:line="240" w:lineRule="auto"/>
              <w:rPr>
                <w:rFonts w:ascii="Arial" w:hAnsi="Arial" w:cs="Arial"/>
                <w:sz w:val="24"/>
                <w:szCs w:val="24"/>
              </w:rPr>
            </w:pPr>
            <w:r w:rsidRPr="001C7CFF">
              <w:rPr>
                <w:rFonts w:ascii="Arial" w:hAnsi="Arial" w:cs="Arial"/>
                <w:sz w:val="24"/>
                <w:szCs w:val="24"/>
              </w:rPr>
              <w:t>Pinner West End</w:t>
            </w:r>
          </w:p>
        </w:tc>
        <w:tc>
          <w:tcPr>
            <w:tcW w:w="5812" w:type="dxa"/>
          </w:tcPr>
          <w:p w:rsidR="00EA4F43" w:rsidRDefault="00C33D1C" w:rsidP="00B27B9E">
            <w:pPr>
              <w:spacing w:after="0" w:line="240" w:lineRule="auto"/>
              <w:rPr>
                <w:rFonts w:ascii="Arial" w:hAnsi="Arial" w:cs="Arial"/>
                <w:sz w:val="24"/>
                <w:szCs w:val="24"/>
              </w:rPr>
            </w:pPr>
            <w:r w:rsidRPr="001C7CFF">
              <w:rPr>
                <w:rFonts w:ascii="Arial" w:hAnsi="Arial" w:cs="Arial"/>
                <w:sz w:val="24"/>
                <w:szCs w:val="24"/>
              </w:rPr>
              <w:t xml:space="preserve">In line with other wards currently with a geographical identifier following the place name, it is proposed to give this ward another name. Pinner West End is deemed to be a suitable name, taking the West End component from </w:t>
            </w:r>
            <w:r w:rsidR="00234F0B" w:rsidRPr="001C7CFF">
              <w:rPr>
                <w:rFonts w:ascii="Arial" w:hAnsi="Arial" w:cs="Arial"/>
                <w:sz w:val="24"/>
                <w:szCs w:val="24"/>
              </w:rPr>
              <w:t xml:space="preserve">West End Lane and West End Avenue, named after another medieval hamlet which existed in this area. In the 1860s Lord Nelson’s daughter </w:t>
            </w:r>
            <w:proofErr w:type="spellStart"/>
            <w:r w:rsidR="00234F0B" w:rsidRPr="001C7CFF">
              <w:rPr>
                <w:rFonts w:ascii="Arial" w:hAnsi="Arial" w:cs="Arial"/>
                <w:sz w:val="24"/>
                <w:szCs w:val="24"/>
              </w:rPr>
              <w:t>Horatia</w:t>
            </w:r>
            <w:proofErr w:type="spellEnd"/>
            <w:r w:rsidR="00234F0B" w:rsidRPr="001C7CFF">
              <w:rPr>
                <w:rFonts w:ascii="Arial" w:hAnsi="Arial" w:cs="Arial"/>
                <w:sz w:val="24"/>
                <w:szCs w:val="24"/>
              </w:rPr>
              <w:t xml:space="preserve"> lived at West End Lodge, which was situated opposite West House. Pinner Memorial Park was formed from the grounds of West House, </w:t>
            </w:r>
            <w:r w:rsidR="00046A11" w:rsidRPr="001C7CFF">
              <w:rPr>
                <w:rFonts w:ascii="Arial" w:hAnsi="Arial" w:cs="Arial"/>
                <w:sz w:val="24"/>
                <w:szCs w:val="24"/>
              </w:rPr>
              <w:t>the latter now a museum. West End Lodge no longer survives, but West Lodge School, on the site of West En</w:t>
            </w:r>
            <w:r w:rsidR="00B27B9E" w:rsidRPr="001C7CFF">
              <w:rPr>
                <w:rFonts w:ascii="Arial" w:hAnsi="Arial" w:cs="Arial"/>
                <w:sz w:val="24"/>
                <w:szCs w:val="24"/>
              </w:rPr>
              <w:t xml:space="preserve">d Lodge, was </w:t>
            </w:r>
            <w:r w:rsidR="007508ED" w:rsidRPr="001C7CFF">
              <w:rPr>
                <w:rFonts w:ascii="Arial" w:hAnsi="Arial" w:cs="Arial"/>
                <w:sz w:val="24"/>
                <w:szCs w:val="24"/>
              </w:rPr>
              <w:t xml:space="preserve">so </w:t>
            </w:r>
            <w:r w:rsidR="00B27B9E" w:rsidRPr="001C7CFF">
              <w:rPr>
                <w:rFonts w:ascii="Arial" w:hAnsi="Arial" w:cs="Arial"/>
                <w:sz w:val="24"/>
                <w:szCs w:val="24"/>
              </w:rPr>
              <w:t>named to reflect the history of this area</w:t>
            </w:r>
            <w:r w:rsidR="00046A11" w:rsidRPr="001C7CFF">
              <w:rPr>
                <w:rFonts w:ascii="Arial" w:hAnsi="Arial" w:cs="Arial"/>
                <w:sz w:val="24"/>
                <w:szCs w:val="24"/>
              </w:rPr>
              <w:t xml:space="preserve">. </w:t>
            </w:r>
          </w:p>
          <w:p w:rsidR="00B329BF" w:rsidRPr="001C7CFF" w:rsidRDefault="00B329BF" w:rsidP="00B27B9E">
            <w:pPr>
              <w:spacing w:after="0" w:line="240" w:lineRule="auto"/>
              <w:rPr>
                <w:rFonts w:ascii="Arial" w:hAnsi="Arial" w:cs="Arial"/>
                <w:sz w:val="24"/>
                <w:szCs w:val="24"/>
              </w:rPr>
            </w:pPr>
          </w:p>
        </w:tc>
      </w:tr>
      <w:tr w:rsidR="00046A11" w:rsidRPr="001C7CFF" w:rsidTr="00144A94">
        <w:tc>
          <w:tcPr>
            <w:tcW w:w="1951" w:type="dxa"/>
          </w:tcPr>
          <w:p w:rsidR="00046A11" w:rsidRPr="001C7CFF" w:rsidRDefault="00046A11" w:rsidP="00354D58">
            <w:pPr>
              <w:spacing w:after="0" w:line="240" w:lineRule="auto"/>
              <w:jc w:val="both"/>
              <w:rPr>
                <w:rFonts w:ascii="Arial" w:hAnsi="Arial" w:cs="Arial"/>
                <w:sz w:val="24"/>
                <w:szCs w:val="24"/>
              </w:rPr>
            </w:pPr>
            <w:r w:rsidRPr="001C7CFF">
              <w:rPr>
                <w:rFonts w:ascii="Arial" w:hAnsi="Arial" w:cs="Arial"/>
                <w:sz w:val="24"/>
                <w:szCs w:val="24"/>
              </w:rPr>
              <w:t>Rayners Lane</w:t>
            </w:r>
          </w:p>
        </w:tc>
        <w:tc>
          <w:tcPr>
            <w:tcW w:w="1843" w:type="dxa"/>
          </w:tcPr>
          <w:p w:rsidR="00046A11" w:rsidRPr="001C7CFF" w:rsidRDefault="00046A11" w:rsidP="00354D58">
            <w:pPr>
              <w:spacing w:after="0" w:line="240" w:lineRule="auto"/>
              <w:jc w:val="both"/>
              <w:rPr>
                <w:rFonts w:ascii="Arial" w:hAnsi="Arial" w:cs="Arial"/>
                <w:sz w:val="24"/>
                <w:szCs w:val="24"/>
              </w:rPr>
            </w:pPr>
            <w:r w:rsidRPr="001C7CFF">
              <w:rPr>
                <w:rFonts w:ascii="Arial" w:hAnsi="Arial" w:cs="Arial"/>
                <w:sz w:val="24"/>
                <w:szCs w:val="24"/>
              </w:rPr>
              <w:t>Rayners Lane</w:t>
            </w:r>
          </w:p>
        </w:tc>
        <w:tc>
          <w:tcPr>
            <w:tcW w:w="5812" w:type="dxa"/>
          </w:tcPr>
          <w:p w:rsidR="00FE3CB7" w:rsidRDefault="00FE3CB7" w:rsidP="00B27B9E">
            <w:pPr>
              <w:spacing w:after="0" w:line="240" w:lineRule="auto"/>
              <w:rPr>
                <w:rFonts w:ascii="Arial" w:hAnsi="Arial" w:cs="Arial"/>
                <w:sz w:val="24"/>
                <w:szCs w:val="24"/>
              </w:rPr>
            </w:pPr>
          </w:p>
          <w:p w:rsidR="00B329BF" w:rsidRPr="001C7CFF" w:rsidRDefault="00B329BF" w:rsidP="00B27B9E">
            <w:pPr>
              <w:spacing w:after="0" w:line="240" w:lineRule="auto"/>
              <w:rPr>
                <w:rFonts w:ascii="Arial" w:hAnsi="Arial" w:cs="Arial"/>
                <w:sz w:val="24"/>
                <w:szCs w:val="24"/>
              </w:rPr>
            </w:pPr>
          </w:p>
        </w:tc>
      </w:tr>
      <w:tr w:rsidR="00046A11" w:rsidRPr="001C7CFF" w:rsidTr="00144A94">
        <w:tc>
          <w:tcPr>
            <w:tcW w:w="1951" w:type="dxa"/>
          </w:tcPr>
          <w:p w:rsidR="00046A11" w:rsidRPr="001C7CFF" w:rsidRDefault="00FE3CB7" w:rsidP="00354D58">
            <w:pPr>
              <w:spacing w:after="0" w:line="240" w:lineRule="auto"/>
              <w:jc w:val="both"/>
              <w:rPr>
                <w:rFonts w:ascii="Arial" w:hAnsi="Arial" w:cs="Arial"/>
                <w:sz w:val="24"/>
                <w:szCs w:val="24"/>
              </w:rPr>
            </w:pPr>
            <w:proofErr w:type="spellStart"/>
            <w:r w:rsidRPr="001C7CFF">
              <w:rPr>
                <w:rFonts w:ascii="Arial" w:hAnsi="Arial" w:cs="Arial"/>
                <w:sz w:val="24"/>
                <w:szCs w:val="24"/>
              </w:rPr>
              <w:t>Roxbourne</w:t>
            </w:r>
            <w:proofErr w:type="spellEnd"/>
          </w:p>
        </w:tc>
        <w:tc>
          <w:tcPr>
            <w:tcW w:w="1843" w:type="dxa"/>
          </w:tcPr>
          <w:p w:rsidR="00046A11" w:rsidRPr="001C7CFF" w:rsidRDefault="00FE3CB7" w:rsidP="00354D58">
            <w:pPr>
              <w:spacing w:after="0" w:line="240" w:lineRule="auto"/>
              <w:jc w:val="both"/>
              <w:rPr>
                <w:rFonts w:ascii="Arial" w:hAnsi="Arial" w:cs="Arial"/>
                <w:sz w:val="24"/>
                <w:szCs w:val="24"/>
              </w:rPr>
            </w:pPr>
            <w:proofErr w:type="spellStart"/>
            <w:r w:rsidRPr="001C7CFF">
              <w:rPr>
                <w:rFonts w:ascii="Arial" w:hAnsi="Arial" w:cs="Arial"/>
                <w:sz w:val="24"/>
                <w:szCs w:val="24"/>
              </w:rPr>
              <w:t>Roxbourne</w:t>
            </w:r>
            <w:proofErr w:type="spellEnd"/>
          </w:p>
        </w:tc>
        <w:tc>
          <w:tcPr>
            <w:tcW w:w="5812" w:type="dxa"/>
          </w:tcPr>
          <w:p w:rsidR="00046A11" w:rsidRDefault="00046A11" w:rsidP="00AE7690">
            <w:pPr>
              <w:spacing w:after="0" w:line="240" w:lineRule="auto"/>
              <w:rPr>
                <w:rFonts w:ascii="Arial" w:hAnsi="Arial" w:cs="Arial"/>
                <w:sz w:val="24"/>
                <w:szCs w:val="24"/>
              </w:rPr>
            </w:pPr>
          </w:p>
          <w:p w:rsidR="00B329BF" w:rsidRPr="001C7CFF" w:rsidRDefault="00B329BF" w:rsidP="00AE7690">
            <w:pPr>
              <w:spacing w:after="0" w:line="240" w:lineRule="auto"/>
              <w:rPr>
                <w:rFonts w:ascii="Arial" w:hAnsi="Arial" w:cs="Arial"/>
                <w:sz w:val="24"/>
                <w:szCs w:val="24"/>
              </w:rPr>
            </w:pPr>
          </w:p>
        </w:tc>
      </w:tr>
      <w:tr w:rsidR="00CD30C0" w:rsidRPr="001C7CFF" w:rsidTr="00144A94">
        <w:tc>
          <w:tcPr>
            <w:tcW w:w="1951" w:type="dxa"/>
          </w:tcPr>
          <w:p w:rsidR="00CD30C0" w:rsidRPr="001C7CFF" w:rsidRDefault="00CD30C0" w:rsidP="00354D58">
            <w:pPr>
              <w:spacing w:after="0" w:line="240" w:lineRule="auto"/>
              <w:jc w:val="both"/>
              <w:rPr>
                <w:rFonts w:ascii="Arial" w:hAnsi="Arial" w:cs="Arial"/>
                <w:sz w:val="24"/>
                <w:szCs w:val="24"/>
              </w:rPr>
            </w:pPr>
            <w:proofErr w:type="spellStart"/>
            <w:r w:rsidRPr="001C7CFF">
              <w:rPr>
                <w:rFonts w:ascii="Arial" w:hAnsi="Arial" w:cs="Arial"/>
                <w:sz w:val="24"/>
                <w:szCs w:val="24"/>
              </w:rPr>
              <w:t>Roxeth</w:t>
            </w:r>
            <w:proofErr w:type="spellEnd"/>
          </w:p>
        </w:tc>
        <w:tc>
          <w:tcPr>
            <w:tcW w:w="1843" w:type="dxa"/>
          </w:tcPr>
          <w:p w:rsidR="00CD30C0" w:rsidRPr="001C7CFF" w:rsidRDefault="00CD30C0" w:rsidP="00354D58">
            <w:pPr>
              <w:spacing w:after="0" w:line="240" w:lineRule="auto"/>
              <w:jc w:val="both"/>
              <w:rPr>
                <w:rFonts w:ascii="Arial" w:hAnsi="Arial" w:cs="Arial"/>
                <w:sz w:val="24"/>
                <w:szCs w:val="24"/>
              </w:rPr>
            </w:pPr>
            <w:proofErr w:type="spellStart"/>
            <w:r w:rsidRPr="001C7CFF">
              <w:rPr>
                <w:rFonts w:ascii="Arial" w:hAnsi="Arial" w:cs="Arial"/>
                <w:sz w:val="24"/>
                <w:szCs w:val="24"/>
              </w:rPr>
              <w:t>Roxeth</w:t>
            </w:r>
            <w:proofErr w:type="spellEnd"/>
          </w:p>
        </w:tc>
        <w:tc>
          <w:tcPr>
            <w:tcW w:w="5812" w:type="dxa"/>
          </w:tcPr>
          <w:p w:rsidR="00CD30C0" w:rsidRDefault="00CD30C0" w:rsidP="00B64A08">
            <w:pPr>
              <w:spacing w:after="0" w:line="240" w:lineRule="auto"/>
              <w:rPr>
                <w:rFonts w:ascii="Arial" w:hAnsi="Arial" w:cs="Arial"/>
                <w:sz w:val="24"/>
                <w:szCs w:val="24"/>
              </w:rPr>
            </w:pPr>
          </w:p>
          <w:p w:rsidR="00B329BF" w:rsidRPr="001C7CFF" w:rsidRDefault="00B329BF" w:rsidP="00B64A08">
            <w:pPr>
              <w:spacing w:after="0" w:line="240" w:lineRule="auto"/>
              <w:rPr>
                <w:rFonts w:ascii="Arial" w:hAnsi="Arial" w:cs="Arial"/>
                <w:sz w:val="24"/>
                <w:szCs w:val="24"/>
              </w:rPr>
            </w:pPr>
          </w:p>
        </w:tc>
      </w:tr>
      <w:tr w:rsidR="00CD30C0" w:rsidRPr="001C7CFF" w:rsidTr="00144A94">
        <w:tc>
          <w:tcPr>
            <w:tcW w:w="1951" w:type="dxa"/>
          </w:tcPr>
          <w:p w:rsidR="00CD30C0" w:rsidRPr="001C7CFF" w:rsidRDefault="00B64A08" w:rsidP="001A786D">
            <w:pPr>
              <w:spacing w:after="0" w:line="240" w:lineRule="auto"/>
              <w:jc w:val="both"/>
              <w:rPr>
                <w:rFonts w:ascii="Arial" w:hAnsi="Arial" w:cs="Arial"/>
                <w:sz w:val="24"/>
                <w:szCs w:val="24"/>
              </w:rPr>
            </w:pPr>
            <w:r w:rsidRPr="001C7CFF">
              <w:rPr>
                <w:rFonts w:ascii="Arial" w:hAnsi="Arial" w:cs="Arial"/>
                <w:sz w:val="24"/>
                <w:szCs w:val="24"/>
              </w:rPr>
              <w:t xml:space="preserve">Stanmore </w:t>
            </w:r>
          </w:p>
        </w:tc>
        <w:tc>
          <w:tcPr>
            <w:tcW w:w="1843" w:type="dxa"/>
          </w:tcPr>
          <w:p w:rsidR="00CD30C0" w:rsidRPr="001C7CFF" w:rsidRDefault="00B64A08" w:rsidP="00354D58">
            <w:pPr>
              <w:spacing w:after="0" w:line="240" w:lineRule="auto"/>
              <w:jc w:val="both"/>
              <w:rPr>
                <w:rFonts w:ascii="Arial" w:hAnsi="Arial" w:cs="Arial"/>
                <w:sz w:val="24"/>
                <w:szCs w:val="24"/>
              </w:rPr>
            </w:pPr>
            <w:r w:rsidRPr="001C7CFF">
              <w:rPr>
                <w:rFonts w:ascii="Arial" w:hAnsi="Arial" w:cs="Arial"/>
                <w:sz w:val="24"/>
                <w:szCs w:val="24"/>
              </w:rPr>
              <w:t>Stanmore</w:t>
            </w:r>
          </w:p>
        </w:tc>
        <w:tc>
          <w:tcPr>
            <w:tcW w:w="5812" w:type="dxa"/>
          </w:tcPr>
          <w:p w:rsidR="00B329BF" w:rsidRDefault="001A786D" w:rsidP="001A786D">
            <w:pPr>
              <w:spacing w:after="0" w:line="240" w:lineRule="auto"/>
              <w:rPr>
                <w:rFonts w:ascii="Arial" w:hAnsi="Arial" w:cs="Arial"/>
                <w:sz w:val="24"/>
                <w:szCs w:val="24"/>
              </w:rPr>
            </w:pPr>
            <w:r w:rsidRPr="001C7CFF">
              <w:rPr>
                <w:rFonts w:ascii="Arial" w:hAnsi="Arial" w:cs="Arial"/>
                <w:sz w:val="24"/>
                <w:szCs w:val="24"/>
              </w:rPr>
              <w:t>The LGBCE has accepted the ward name change from Stanmore Park</w:t>
            </w:r>
            <w:bookmarkStart w:id="0" w:name="_GoBack"/>
            <w:bookmarkEnd w:id="0"/>
          </w:p>
          <w:p w:rsidR="00B329BF" w:rsidRPr="001C7CFF" w:rsidRDefault="00B329BF" w:rsidP="001A786D">
            <w:pPr>
              <w:spacing w:after="0" w:line="240" w:lineRule="auto"/>
              <w:rPr>
                <w:rFonts w:ascii="Arial" w:hAnsi="Arial" w:cs="Arial"/>
                <w:sz w:val="24"/>
                <w:szCs w:val="24"/>
              </w:rPr>
            </w:pPr>
          </w:p>
        </w:tc>
      </w:tr>
      <w:tr w:rsidR="00CD30C0" w:rsidRPr="001C7CFF" w:rsidTr="00144A94">
        <w:tc>
          <w:tcPr>
            <w:tcW w:w="1951" w:type="dxa"/>
          </w:tcPr>
          <w:p w:rsidR="00CD30C0" w:rsidRPr="001C7CFF" w:rsidRDefault="00E22CC4" w:rsidP="00354D58">
            <w:pPr>
              <w:spacing w:after="0" w:line="240" w:lineRule="auto"/>
              <w:jc w:val="both"/>
              <w:rPr>
                <w:rFonts w:ascii="Arial" w:hAnsi="Arial" w:cs="Arial"/>
                <w:sz w:val="24"/>
                <w:szCs w:val="24"/>
              </w:rPr>
            </w:pPr>
            <w:r w:rsidRPr="001C7CFF">
              <w:rPr>
                <w:rFonts w:ascii="Arial" w:hAnsi="Arial" w:cs="Arial"/>
                <w:sz w:val="24"/>
                <w:szCs w:val="24"/>
              </w:rPr>
              <w:lastRenderedPageBreak/>
              <w:t>Wealdstone</w:t>
            </w:r>
            <w:r w:rsidR="001A786D" w:rsidRPr="001C7CFF">
              <w:rPr>
                <w:rFonts w:ascii="Arial" w:hAnsi="Arial" w:cs="Arial"/>
                <w:sz w:val="24"/>
                <w:szCs w:val="24"/>
              </w:rPr>
              <w:t xml:space="preserve"> East</w:t>
            </w:r>
          </w:p>
        </w:tc>
        <w:tc>
          <w:tcPr>
            <w:tcW w:w="1843" w:type="dxa"/>
          </w:tcPr>
          <w:p w:rsidR="00CD30C0" w:rsidRPr="001C7CFF" w:rsidRDefault="00E22CC4" w:rsidP="00354D58">
            <w:pPr>
              <w:spacing w:after="0" w:line="240" w:lineRule="auto"/>
              <w:jc w:val="both"/>
              <w:rPr>
                <w:rFonts w:ascii="Arial" w:hAnsi="Arial" w:cs="Arial"/>
                <w:sz w:val="24"/>
                <w:szCs w:val="24"/>
              </w:rPr>
            </w:pPr>
            <w:r w:rsidRPr="001C7CFF">
              <w:rPr>
                <w:rFonts w:ascii="Arial" w:hAnsi="Arial" w:cs="Arial"/>
                <w:sz w:val="24"/>
                <w:szCs w:val="24"/>
              </w:rPr>
              <w:t xml:space="preserve">Wealdstone </w:t>
            </w:r>
          </w:p>
        </w:tc>
        <w:tc>
          <w:tcPr>
            <w:tcW w:w="5812" w:type="dxa"/>
          </w:tcPr>
          <w:p w:rsidR="00CD30C0" w:rsidRDefault="001A786D" w:rsidP="001A786D">
            <w:pPr>
              <w:spacing w:after="120" w:line="240" w:lineRule="auto"/>
              <w:rPr>
                <w:rFonts w:ascii="Arial" w:hAnsi="Arial" w:cs="Arial"/>
                <w:sz w:val="24"/>
                <w:szCs w:val="24"/>
              </w:rPr>
            </w:pPr>
            <w:r w:rsidRPr="001C7CFF">
              <w:rPr>
                <w:rFonts w:ascii="Arial" w:hAnsi="Arial" w:cs="Arial"/>
                <w:sz w:val="24"/>
                <w:szCs w:val="24"/>
              </w:rPr>
              <w:t>With regard to ward names the Council is not in favour of the names Wealdstone East and Wealdstone West. As previously mentioned, the Council is keen to minimise the number of ward names in the borough with a geographical locator following the area name. We are therefore proposing that Wealdstone East simply takes the name of Wealdstone, as this proposed new ward reflects the heart of the Wealdstone area. The name Wealdstone was established in the area in the late 1800s and Wealdstone went on to become an important industrial centre. The Council is keen to retain the identity of this ward in the future as the area continues to evolve through a number of major regeneration projects.</w:t>
            </w:r>
          </w:p>
          <w:p w:rsidR="00B329BF" w:rsidRPr="001C7CFF" w:rsidRDefault="00B329BF" w:rsidP="001A786D">
            <w:pPr>
              <w:spacing w:after="120" w:line="240" w:lineRule="auto"/>
              <w:rPr>
                <w:rFonts w:ascii="Arial" w:hAnsi="Arial" w:cs="Arial"/>
                <w:sz w:val="24"/>
                <w:szCs w:val="24"/>
              </w:rPr>
            </w:pPr>
          </w:p>
        </w:tc>
      </w:tr>
      <w:tr w:rsidR="00CD30C0" w:rsidRPr="001C7CFF" w:rsidTr="00144A94">
        <w:tc>
          <w:tcPr>
            <w:tcW w:w="1951" w:type="dxa"/>
          </w:tcPr>
          <w:p w:rsidR="00CD30C0" w:rsidRPr="001C7CFF" w:rsidRDefault="00783E36" w:rsidP="001A786D">
            <w:pPr>
              <w:spacing w:after="0" w:line="240" w:lineRule="auto"/>
              <w:jc w:val="both"/>
              <w:rPr>
                <w:rFonts w:ascii="Arial" w:hAnsi="Arial" w:cs="Arial"/>
                <w:sz w:val="24"/>
                <w:szCs w:val="24"/>
              </w:rPr>
            </w:pPr>
            <w:r w:rsidRPr="001C7CFF">
              <w:rPr>
                <w:rFonts w:ascii="Arial" w:hAnsi="Arial" w:cs="Arial"/>
                <w:sz w:val="24"/>
                <w:szCs w:val="24"/>
              </w:rPr>
              <w:t xml:space="preserve">Wealdstone </w:t>
            </w:r>
            <w:r w:rsidR="001A786D" w:rsidRPr="001C7CFF">
              <w:rPr>
                <w:rFonts w:ascii="Arial" w:hAnsi="Arial" w:cs="Arial"/>
                <w:sz w:val="24"/>
                <w:szCs w:val="24"/>
              </w:rPr>
              <w:t>West</w:t>
            </w:r>
          </w:p>
        </w:tc>
        <w:tc>
          <w:tcPr>
            <w:tcW w:w="1843" w:type="dxa"/>
          </w:tcPr>
          <w:p w:rsidR="00CD30C0" w:rsidRPr="001C7CFF" w:rsidRDefault="00783E36" w:rsidP="00354D58">
            <w:pPr>
              <w:spacing w:after="0" w:line="240" w:lineRule="auto"/>
              <w:jc w:val="both"/>
              <w:rPr>
                <w:rFonts w:ascii="Arial" w:hAnsi="Arial" w:cs="Arial"/>
                <w:sz w:val="24"/>
                <w:szCs w:val="24"/>
              </w:rPr>
            </w:pPr>
            <w:proofErr w:type="spellStart"/>
            <w:r w:rsidRPr="001C7CFF">
              <w:rPr>
                <w:rFonts w:ascii="Arial" w:hAnsi="Arial" w:cs="Arial"/>
                <w:sz w:val="24"/>
                <w:szCs w:val="24"/>
              </w:rPr>
              <w:t>Whitefriars</w:t>
            </w:r>
            <w:proofErr w:type="spellEnd"/>
          </w:p>
        </w:tc>
        <w:tc>
          <w:tcPr>
            <w:tcW w:w="5812" w:type="dxa"/>
          </w:tcPr>
          <w:p w:rsidR="00CD30C0" w:rsidRPr="001C7CFF" w:rsidRDefault="001A786D" w:rsidP="00744E34">
            <w:pPr>
              <w:spacing w:after="120" w:line="240" w:lineRule="auto"/>
              <w:rPr>
                <w:rFonts w:ascii="Arial" w:hAnsi="Arial" w:cs="Arial"/>
                <w:sz w:val="24"/>
                <w:szCs w:val="24"/>
              </w:rPr>
            </w:pPr>
            <w:r w:rsidRPr="001C7CFF">
              <w:rPr>
                <w:rFonts w:ascii="Arial" w:hAnsi="Arial" w:cs="Arial"/>
                <w:sz w:val="24"/>
                <w:szCs w:val="24"/>
              </w:rPr>
              <w:t>The Council favours the name ‘</w:t>
            </w:r>
            <w:proofErr w:type="spellStart"/>
            <w:r w:rsidRPr="001C7CFF">
              <w:rPr>
                <w:rFonts w:ascii="Arial" w:hAnsi="Arial" w:cs="Arial"/>
                <w:sz w:val="24"/>
                <w:szCs w:val="24"/>
              </w:rPr>
              <w:t>Whitefriars</w:t>
            </w:r>
            <w:proofErr w:type="spellEnd"/>
            <w:r w:rsidRPr="001C7CFF">
              <w:rPr>
                <w:rFonts w:ascii="Arial" w:hAnsi="Arial" w:cs="Arial"/>
                <w:sz w:val="24"/>
                <w:szCs w:val="24"/>
              </w:rPr>
              <w:t xml:space="preserve">’ for Wealdstone West ward. Although Wealdstone has a proud heritage, this area is also one of the most deprived parts of the borough and we therefore want to give a new identity to part of this area. </w:t>
            </w:r>
            <w:proofErr w:type="spellStart"/>
            <w:r w:rsidRPr="001C7CFF">
              <w:rPr>
                <w:rFonts w:ascii="Arial" w:hAnsi="Arial" w:cs="Arial"/>
                <w:sz w:val="24"/>
                <w:szCs w:val="24"/>
              </w:rPr>
              <w:t>Whitefriars</w:t>
            </w:r>
            <w:proofErr w:type="spellEnd"/>
            <w:r w:rsidRPr="001C7CFF">
              <w:rPr>
                <w:rFonts w:ascii="Arial" w:hAnsi="Arial" w:cs="Arial"/>
                <w:sz w:val="24"/>
                <w:szCs w:val="24"/>
              </w:rPr>
              <w:t xml:space="preserve"> is an appropriate new name for this largely residential area. The name has been chosen to reflect the glassworks that originally stood in this general area, which was Britain’s longest running glass house. </w:t>
            </w:r>
            <w:proofErr w:type="spellStart"/>
            <w:r w:rsidRPr="001C7CFF">
              <w:rPr>
                <w:rFonts w:ascii="Arial" w:hAnsi="Arial" w:cs="Arial"/>
                <w:sz w:val="24"/>
                <w:szCs w:val="24"/>
              </w:rPr>
              <w:t>Whitefriars</w:t>
            </w:r>
            <w:proofErr w:type="spellEnd"/>
            <w:r w:rsidRPr="001C7CFF">
              <w:rPr>
                <w:rFonts w:ascii="Arial" w:hAnsi="Arial" w:cs="Arial"/>
                <w:sz w:val="24"/>
                <w:szCs w:val="24"/>
              </w:rPr>
              <w:t xml:space="preserve"> glass is world famous, particularly amongst collectors, and it would be fitting for this ward to bear this name. Several streets in this area (</w:t>
            </w:r>
            <w:proofErr w:type="spellStart"/>
            <w:r w:rsidRPr="001C7CFF">
              <w:rPr>
                <w:rFonts w:ascii="Arial" w:hAnsi="Arial" w:cs="Arial"/>
                <w:sz w:val="24"/>
                <w:szCs w:val="24"/>
              </w:rPr>
              <w:t>Whitefriars</w:t>
            </w:r>
            <w:proofErr w:type="spellEnd"/>
            <w:r w:rsidRPr="001C7CFF">
              <w:rPr>
                <w:rFonts w:ascii="Arial" w:hAnsi="Arial" w:cs="Arial"/>
                <w:sz w:val="24"/>
                <w:szCs w:val="24"/>
              </w:rPr>
              <w:t xml:space="preserve"> Drive and </w:t>
            </w:r>
            <w:proofErr w:type="spellStart"/>
            <w:r w:rsidRPr="001C7CFF">
              <w:rPr>
                <w:rFonts w:ascii="Arial" w:hAnsi="Arial" w:cs="Arial"/>
                <w:sz w:val="24"/>
                <w:szCs w:val="24"/>
              </w:rPr>
              <w:t>Whitefriars</w:t>
            </w:r>
            <w:proofErr w:type="spellEnd"/>
            <w:r w:rsidRPr="001C7CFF">
              <w:rPr>
                <w:rFonts w:ascii="Arial" w:hAnsi="Arial" w:cs="Arial"/>
                <w:sz w:val="24"/>
                <w:szCs w:val="24"/>
              </w:rPr>
              <w:t xml:space="preserve"> Avenue) were named after the </w:t>
            </w:r>
            <w:proofErr w:type="spellStart"/>
            <w:r w:rsidRPr="001C7CFF">
              <w:rPr>
                <w:rFonts w:ascii="Arial" w:hAnsi="Arial" w:cs="Arial"/>
                <w:sz w:val="24"/>
                <w:szCs w:val="24"/>
              </w:rPr>
              <w:t>Whitefriars</w:t>
            </w:r>
            <w:proofErr w:type="spellEnd"/>
            <w:r w:rsidRPr="001C7CFF">
              <w:rPr>
                <w:rFonts w:ascii="Arial" w:hAnsi="Arial" w:cs="Arial"/>
                <w:sz w:val="24"/>
                <w:szCs w:val="24"/>
              </w:rPr>
              <w:t xml:space="preserve"> Glassworks, as was </w:t>
            </w:r>
            <w:proofErr w:type="spellStart"/>
            <w:r w:rsidRPr="001C7CFF">
              <w:rPr>
                <w:rFonts w:ascii="Arial" w:hAnsi="Arial" w:cs="Arial"/>
                <w:sz w:val="24"/>
                <w:szCs w:val="24"/>
              </w:rPr>
              <w:t>Whitefriars</w:t>
            </w:r>
            <w:proofErr w:type="spellEnd"/>
            <w:r w:rsidRPr="001C7CFF">
              <w:rPr>
                <w:rFonts w:ascii="Arial" w:hAnsi="Arial" w:cs="Arial"/>
                <w:sz w:val="24"/>
                <w:szCs w:val="24"/>
              </w:rPr>
              <w:t xml:space="preserve"> School, which is situated in the heart of this new ward.</w:t>
            </w:r>
          </w:p>
        </w:tc>
      </w:tr>
      <w:tr w:rsidR="00CD30C0" w:rsidRPr="001C7CFF" w:rsidTr="00144A94">
        <w:tc>
          <w:tcPr>
            <w:tcW w:w="1951" w:type="dxa"/>
          </w:tcPr>
          <w:p w:rsidR="00CD30C0" w:rsidRPr="001C7CFF" w:rsidRDefault="00783E36" w:rsidP="00354D58">
            <w:pPr>
              <w:spacing w:after="0" w:line="240" w:lineRule="auto"/>
              <w:jc w:val="both"/>
              <w:rPr>
                <w:rFonts w:ascii="Arial" w:hAnsi="Arial" w:cs="Arial"/>
                <w:sz w:val="24"/>
                <w:szCs w:val="24"/>
              </w:rPr>
            </w:pPr>
            <w:r w:rsidRPr="001C7CFF">
              <w:rPr>
                <w:rFonts w:ascii="Arial" w:hAnsi="Arial" w:cs="Arial"/>
                <w:sz w:val="24"/>
                <w:szCs w:val="24"/>
              </w:rPr>
              <w:t>West Harrow</w:t>
            </w:r>
          </w:p>
        </w:tc>
        <w:tc>
          <w:tcPr>
            <w:tcW w:w="1843" w:type="dxa"/>
          </w:tcPr>
          <w:p w:rsidR="00CD30C0" w:rsidRPr="001C7CFF" w:rsidRDefault="00783E36" w:rsidP="00354D58">
            <w:pPr>
              <w:spacing w:after="0" w:line="240" w:lineRule="auto"/>
              <w:jc w:val="both"/>
              <w:rPr>
                <w:rFonts w:ascii="Arial" w:hAnsi="Arial" w:cs="Arial"/>
                <w:sz w:val="24"/>
                <w:szCs w:val="24"/>
              </w:rPr>
            </w:pPr>
            <w:r w:rsidRPr="001C7CFF">
              <w:rPr>
                <w:rFonts w:ascii="Arial" w:hAnsi="Arial" w:cs="Arial"/>
                <w:sz w:val="24"/>
                <w:szCs w:val="24"/>
              </w:rPr>
              <w:t>West Harrow</w:t>
            </w:r>
          </w:p>
        </w:tc>
        <w:tc>
          <w:tcPr>
            <w:tcW w:w="5812" w:type="dxa"/>
          </w:tcPr>
          <w:p w:rsidR="00CD30C0" w:rsidRDefault="00CD30C0" w:rsidP="00A818A1">
            <w:pPr>
              <w:spacing w:after="0" w:line="240" w:lineRule="auto"/>
              <w:rPr>
                <w:rFonts w:ascii="Arial" w:hAnsi="Arial" w:cs="Arial"/>
                <w:sz w:val="24"/>
                <w:szCs w:val="24"/>
              </w:rPr>
            </w:pPr>
          </w:p>
          <w:p w:rsidR="00B329BF" w:rsidRPr="001C7CFF" w:rsidRDefault="00B329BF" w:rsidP="00A818A1">
            <w:pPr>
              <w:spacing w:after="0" w:line="240" w:lineRule="auto"/>
              <w:rPr>
                <w:rFonts w:ascii="Arial" w:hAnsi="Arial" w:cs="Arial"/>
                <w:sz w:val="24"/>
                <w:szCs w:val="24"/>
              </w:rPr>
            </w:pPr>
          </w:p>
        </w:tc>
      </w:tr>
    </w:tbl>
    <w:p w:rsidR="00354D58" w:rsidRPr="00354D58" w:rsidRDefault="00354D58">
      <w:pPr>
        <w:rPr>
          <w:rFonts w:ascii="Arial" w:hAnsi="Arial" w:cs="Arial"/>
          <w:u w:val="single"/>
        </w:rPr>
      </w:pPr>
    </w:p>
    <w:sectPr w:rsidR="00354D58" w:rsidRPr="00354D58" w:rsidSect="00144A94">
      <w:footerReference w:type="default" r:id="rId7"/>
      <w:pgSz w:w="11906" w:h="16838"/>
      <w:pgMar w:top="1440" w:right="99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9E" w:rsidRDefault="00B27B9E" w:rsidP="00B27B9E">
      <w:pPr>
        <w:spacing w:after="0" w:line="240" w:lineRule="auto"/>
      </w:pPr>
      <w:r>
        <w:separator/>
      </w:r>
    </w:p>
  </w:endnote>
  <w:endnote w:type="continuationSeparator" w:id="0">
    <w:p w:rsidR="00B27B9E" w:rsidRDefault="00B27B9E" w:rsidP="00B2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7120"/>
      <w:docPartObj>
        <w:docPartGallery w:val="Page Numbers (Bottom of Page)"/>
        <w:docPartUnique/>
      </w:docPartObj>
    </w:sdtPr>
    <w:sdtEndPr>
      <w:rPr>
        <w:noProof/>
      </w:rPr>
    </w:sdtEndPr>
    <w:sdtContent>
      <w:p w:rsidR="00B27B9E" w:rsidRDefault="00B27B9E">
        <w:pPr>
          <w:pStyle w:val="Footer"/>
          <w:jc w:val="center"/>
        </w:pPr>
        <w:r>
          <w:fldChar w:fldCharType="begin"/>
        </w:r>
        <w:r>
          <w:instrText xml:space="preserve"> PAGE   \* MERGEFORMAT </w:instrText>
        </w:r>
        <w:r>
          <w:fldChar w:fldCharType="separate"/>
        </w:r>
        <w:r w:rsidR="003874CC">
          <w:rPr>
            <w:noProof/>
          </w:rPr>
          <w:t>3</w:t>
        </w:r>
        <w:r>
          <w:rPr>
            <w:noProof/>
          </w:rPr>
          <w:fldChar w:fldCharType="end"/>
        </w:r>
      </w:p>
    </w:sdtContent>
  </w:sdt>
  <w:p w:rsidR="00B27B9E" w:rsidRDefault="00B27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9E" w:rsidRDefault="00B27B9E" w:rsidP="00B27B9E">
      <w:pPr>
        <w:spacing w:after="0" w:line="240" w:lineRule="auto"/>
      </w:pPr>
      <w:r>
        <w:separator/>
      </w:r>
    </w:p>
  </w:footnote>
  <w:footnote w:type="continuationSeparator" w:id="0">
    <w:p w:rsidR="00B27B9E" w:rsidRDefault="00B27B9E" w:rsidP="00B27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58"/>
    <w:rsid w:val="00046A11"/>
    <w:rsid w:val="001078B2"/>
    <w:rsid w:val="00144A94"/>
    <w:rsid w:val="001A786D"/>
    <w:rsid w:val="001C7CFF"/>
    <w:rsid w:val="001F1E4D"/>
    <w:rsid w:val="00234F0B"/>
    <w:rsid w:val="00354D58"/>
    <w:rsid w:val="0038145C"/>
    <w:rsid w:val="003874CC"/>
    <w:rsid w:val="003C0778"/>
    <w:rsid w:val="003C3753"/>
    <w:rsid w:val="003E5DBE"/>
    <w:rsid w:val="004C101E"/>
    <w:rsid w:val="00543332"/>
    <w:rsid w:val="006840B5"/>
    <w:rsid w:val="007246EE"/>
    <w:rsid w:val="00736707"/>
    <w:rsid w:val="00744E34"/>
    <w:rsid w:val="007508ED"/>
    <w:rsid w:val="00783E36"/>
    <w:rsid w:val="007B7BAC"/>
    <w:rsid w:val="00807C7D"/>
    <w:rsid w:val="00826E5A"/>
    <w:rsid w:val="008B27E2"/>
    <w:rsid w:val="008F0763"/>
    <w:rsid w:val="00A818A1"/>
    <w:rsid w:val="00AE7690"/>
    <w:rsid w:val="00B27B9E"/>
    <w:rsid w:val="00B329BF"/>
    <w:rsid w:val="00B64A08"/>
    <w:rsid w:val="00B90401"/>
    <w:rsid w:val="00BF5FDF"/>
    <w:rsid w:val="00C2332E"/>
    <w:rsid w:val="00C33D1C"/>
    <w:rsid w:val="00CD30C0"/>
    <w:rsid w:val="00E22CC4"/>
    <w:rsid w:val="00E36196"/>
    <w:rsid w:val="00E46AF1"/>
    <w:rsid w:val="00E86ACD"/>
    <w:rsid w:val="00EA4F43"/>
    <w:rsid w:val="00F664DB"/>
    <w:rsid w:val="00FE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0763"/>
    <w:rPr>
      <w:color w:val="0000FF"/>
      <w:u w:val="single"/>
    </w:rPr>
  </w:style>
  <w:style w:type="paragraph" w:styleId="Header">
    <w:name w:val="header"/>
    <w:basedOn w:val="Normal"/>
    <w:link w:val="HeaderChar"/>
    <w:uiPriority w:val="99"/>
    <w:unhideWhenUsed/>
    <w:rsid w:val="00B2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9E"/>
    <w:rPr>
      <w:sz w:val="22"/>
      <w:szCs w:val="22"/>
      <w:lang w:eastAsia="en-US"/>
    </w:rPr>
  </w:style>
  <w:style w:type="paragraph" w:styleId="Footer">
    <w:name w:val="footer"/>
    <w:basedOn w:val="Normal"/>
    <w:link w:val="FooterChar"/>
    <w:uiPriority w:val="99"/>
    <w:unhideWhenUsed/>
    <w:rsid w:val="00B27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0763"/>
    <w:rPr>
      <w:color w:val="0000FF"/>
      <w:u w:val="single"/>
    </w:rPr>
  </w:style>
  <w:style w:type="paragraph" w:styleId="Header">
    <w:name w:val="header"/>
    <w:basedOn w:val="Normal"/>
    <w:link w:val="HeaderChar"/>
    <w:uiPriority w:val="99"/>
    <w:unhideWhenUsed/>
    <w:rsid w:val="00B2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9E"/>
    <w:rPr>
      <w:sz w:val="22"/>
      <w:szCs w:val="22"/>
      <w:lang w:eastAsia="en-US"/>
    </w:rPr>
  </w:style>
  <w:style w:type="paragraph" w:styleId="Footer">
    <w:name w:val="footer"/>
    <w:basedOn w:val="Normal"/>
    <w:link w:val="FooterChar"/>
    <w:uiPriority w:val="99"/>
    <w:unhideWhenUsed/>
    <w:rsid w:val="00B27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Kaminska</dc:creator>
  <cp:lastModifiedBy>mwearing</cp:lastModifiedBy>
  <cp:revision>6</cp:revision>
  <dcterms:created xsi:type="dcterms:W3CDTF">2019-02-01T13:38:00Z</dcterms:created>
  <dcterms:modified xsi:type="dcterms:W3CDTF">2019-02-04T14:57:00Z</dcterms:modified>
</cp:coreProperties>
</file>